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EE" w:rsidRPr="0069287A" w:rsidRDefault="00E50AEE" w:rsidP="00E50AEE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9287A">
        <w:rPr>
          <w:rFonts w:ascii="Times New Roman" w:hAnsi="Times New Roman"/>
          <w:b/>
          <w:bCs/>
          <w:sz w:val="28"/>
          <w:szCs w:val="28"/>
        </w:rPr>
        <w:t>Abhilash</w:t>
      </w:r>
      <w:proofErr w:type="spellEnd"/>
      <w:r w:rsidRPr="0069287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9287A">
        <w:rPr>
          <w:rFonts w:ascii="Times New Roman" w:hAnsi="Times New Roman"/>
          <w:b/>
          <w:bCs/>
          <w:sz w:val="28"/>
          <w:szCs w:val="28"/>
        </w:rPr>
        <w:t>Malayil</w:t>
      </w:r>
      <w:proofErr w:type="spellEnd"/>
    </w:p>
    <w:p w:rsidR="00E50AEE" w:rsidRDefault="00E50AEE" w:rsidP="00E50AEE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</w:p>
    <w:p w:rsidR="00E50AEE" w:rsidRPr="0069287A" w:rsidRDefault="00E50AEE" w:rsidP="00E50AEE">
      <w:pPr>
        <w:pStyle w:val="TableContents"/>
        <w:rPr>
          <w:rFonts w:ascii="inherit" w:hAnsi="inherit"/>
          <w:sz w:val="28"/>
          <w:szCs w:val="28"/>
        </w:rPr>
      </w:pPr>
      <w:r w:rsidRPr="0069287A">
        <w:rPr>
          <w:rFonts w:ascii="Times New Roman" w:hAnsi="Times New Roman"/>
          <w:sz w:val="28"/>
          <w:szCs w:val="28"/>
        </w:rPr>
        <w:t xml:space="preserve"> Jawaharlal Nehru University </w:t>
      </w: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69287A">
        <w:rPr>
          <w:rFonts w:ascii="Times New Roman" w:hAnsi="Times New Roman"/>
          <w:sz w:val="28"/>
          <w:szCs w:val="28"/>
        </w:rPr>
        <w:t xml:space="preserve"> India</w:t>
      </w:r>
      <w:proofErr w:type="gramEnd"/>
      <w:r w:rsidRPr="0069287A">
        <w:rPr>
          <w:rFonts w:ascii="Times New Roman" w:hAnsi="Times New Roman"/>
          <w:sz w:val="28"/>
          <w:szCs w:val="28"/>
        </w:rPr>
        <w:t xml:space="preserve"> .</w:t>
      </w:r>
      <w:r w:rsidRPr="0069287A">
        <w:rPr>
          <w:rFonts w:ascii="inherit" w:hAnsi="inherit"/>
          <w:sz w:val="28"/>
          <w:szCs w:val="28"/>
        </w:rPr>
        <w:t xml:space="preserve"> </w:t>
      </w:r>
    </w:p>
    <w:p w:rsidR="00E50AEE" w:rsidRDefault="00E50AEE" w:rsidP="00E50AEE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</w:p>
    <w:p w:rsidR="00E50AEE" w:rsidRDefault="00E50AEE" w:rsidP="00E50AEE">
      <w:pPr>
        <w:pStyle w:val="TableContents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0AEE" w:rsidRDefault="00E50AEE" w:rsidP="00E50AEE">
      <w:pPr>
        <w:pStyle w:val="TableContents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0AEE" w:rsidRDefault="00E50AEE" w:rsidP="00E50AEE">
      <w:pPr>
        <w:pStyle w:val="TableContents"/>
        <w:jc w:val="center"/>
        <w:rPr>
          <w:rFonts w:ascii="inherit" w:hAnsi="inherit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Specie Types and Market Situations: Perspectives from South Western Coast of India 10</w:t>
      </w:r>
      <w:proofErr w:type="spellStart"/>
      <w:r w:rsidRPr="0069287A">
        <w:rPr>
          <w:rFonts w:ascii="Times New Roman" w:hAnsi="Times New Roman"/>
          <w:b/>
          <w:bCs/>
          <w:position w:val="9"/>
          <w:sz w:val="28"/>
          <w:szCs w:val="28"/>
          <w:vertAlign w:val="superscript"/>
        </w:rPr>
        <w:t>t</w:t>
      </w:r>
      <w:r>
        <w:rPr>
          <w:rFonts w:ascii="Times New Roman" w:hAnsi="Times New Roman"/>
          <w:b/>
          <w:bCs/>
          <w:position w:val="9"/>
          <w:sz w:val="28"/>
          <w:szCs w:val="28"/>
          <w:vertAlign w:val="superscript"/>
        </w:rPr>
        <w:t>h</w:t>
      </w:r>
      <w:proofErr w:type="spellEnd"/>
      <w:r>
        <w:rPr>
          <w:rFonts w:ascii="Times New Roman" w:hAnsi="Times New Roman"/>
          <w:b/>
          <w:bCs/>
          <w:position w:val="9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to 15</w:t>
      </w:r>
      <w:proofErr w:type="spellStart"/>
      <w:r w:rsidRPr="0069287A">
        <w:rPr>
          <w:rFonts w:ascii="Times New Roman" w:hAnsi="Times New Roman"/>
          <w:b/>
          <w:bCs/>
          <w:position w:val="9"/>
          <w:sz w:val="28"/>
          <w:szCs w:val="28"/>
          <w:vertAlign w:val="superscript"/>
        </w:rPr>
        <w:t>th</w:t>
      </w:r>
      <w:proofErr w:type="spellEnd"/>
      <w:r>
        <w:rPr>
          <w:rFonts w:ascii="Times New Roman" w:hAnsi="Times New Roman"/>
          <w:b/>
          <w:bCs/>
          <w:position w:val="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Centuries</w:t>
      </w:r>
    </w:p>
    <w:p w:rsidR="00E50AEE" w:rsidRDefault="00E50AEE" w:rsidP="00E50AEE">
      <w:pPr>
        <w:pStyle w:val="TableContents"/>
        <w:rPr>
          <w:rFonts w:ascii="inherit" w:hAnsi="inherit"/>
          <w:b/>
          <w:bCs/>
          <w:sz w:val="18"/>
          <w:szCs w:val="18"/>
        </w:rPr>
      </w:pPr>
    </w:p>
    <w:p w:rsidR="00E50AEE" w:rsidRDefault="00E50AEE" w:rsidP="00E50AEE">
      <w:pPr>
        <w:pStyle w:val="TableContents"/>
        <w:rPr>
          <w:rFonts w:ascii="Times New Roman" w:hAnsi="Times New Roman"/>
        </w:rPr>
      </w:pPr>
    </w:p>
    <w:p w:rsidR="00E50AEE" w:rsidRPr="0069287A" w:rsidRDefault="00E50AEE" w:rsidP="00E50AEE">
      <w:pPr>
        <w:pStyle w:val="TableContents"/>
        <w:rPr>
          <w:rFonts w:asciiTheme="majorBidi" w:hAnsiTheme="majorBidi" w:cstheme="majorBidi"/>
          <w:sz w:val="28"/>
          <w:szCs w:val="28"/>
        </w:rPr>
      </w:pPr>
      <w:r w:rsidRPr="0069287A">
        <w:rPr>
          <w:rFonts w:asciiTheme="majorBidi" w:hAnsiTheme="majorBidi" w:cstheme="majorBidi"/>
          <w:sz w:val="28"/>
          <w:szCs w:val="28"/>
        </w:rPr>
        <w:t xml:space="preserve">Key Words: Pre-Modern Coinage, Granite Inscriptions, Rural Monetization. </w:t>
      </w:r>
    </w:p>
    <w:p w:rsidR="00E50AEE" w:rsidRPr="0069287A" w:rsidRDefault="00E50AEE" w:rsidP="00E50AEE">
      <w:pPr>
        <w:pStyle w:val="TableContents"/>
        <w:rPr>
          <w:rFonts w:asciiTheme="majorBidi" w:hAnsiTheme="majorBidi" w:cstheme="majorBidi"/>
          <w:sz w:val="28"/>
          <w:szCs w:val="28"/>
        </w:rPr>
      </w:pPr>
    </w:p>
    <w:p w:rsidR="00E50AEE" w:rsidRDefault="00E50AEE" w:rsidP="00E50AEE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69287A">
        <w:rPr>
          <w:rFonts w:asciiTheme="majorBidi" w:hAnsiTheme="majorBidi" w:cstheme="majorBidi"/>
          <w:sz w:val="28"/>
          <w:szCs w:val="28"/>
        </w:rPr>
        <w:t xml:space="preserve">This paper is an attempt in the direction of attesting the presence of an early dated market-situation around </w:t>
      </w:r>
      <w:r>
        <w:rPr>
          <w:rFonts w:asciiTheme="majorBidi" w:hAnsiTheme="majorBidi" w:cstheme="majorBidi"/>
          <w:sz w:val="28"/>
          <w:szCs w:val="28"/>
        </w:rPr>
        <w:t>the trading rim of Indian Ocean</w:t>
      </w:r>
      <w:r w:rsidRPr="0069287A">
        <w:rPr>
          <w:rFonts w:asciiTheme="majorBidi" w:hAnsiTheme="majorBidi" w:cstheme="majorBidi"/>
          <w:sz w:val="28"/>
          <w:szCs w:val="28"/>
        </w:rPr>
        <w:t xml:space="preserve">. By basing itself on the information/inferences from the granite inscriptions of </w:t>
      </w:r>
      <w:r>
        <w:rPr>
          <w:rFonts w:asciiTheme="majorBidi" w:hAnsiTheme="majorBidi" w:cstheme="majorBidi"/>
          <w:sz w:val="28"/>
          <w:szCs w:val="28"/>
        </w:rPr>
        <w:t xml:space="preserve">the </w:t>
      </w:r>
      <w:r w:rsidRPr="0069287A">
        <w:rPr>
          <w:rFonts w:asciiTheme="majorBidi" w:hAnsiTheme="majorBidi" w:cstheme="majorBidi"/>
          <w:sz w:val="28"/>
          <w:szCs w:val="28"/>
        </w:rPr>
        <w:t>South West</w:t>
      </w:r>
      <w:r>
        <w:rPr>
          <w:rFonts w:asciiTheme="majorBidi" w:hAnsiTheme="majorBidi" w:cstheme="majorBidi"/>
          <w:sz w:val="28"/>
          <w:szCs w:val="28"/>
        </w:rPr>
        <w:t>ern Coast of India</w:t>
      </w:r>
      <w:r w:rsidRPr="0069287A">
        <w:rPr>
          <w:rFonts w:asciiTheme="majorBidi" w:hAnsiTheme="majorBidi" w:cstheme="majorBidi"/>
          <w:sz w:val="28"/>
          <w:szCs w:val="28"/>
        </w:rPr>
        <w:t>, it will make an argument that the circulation of specie was not restricted to t</w:t>
      </w:r>
      <w:r>
        <w:rPr>
          <w:rFonts w:asciiTheme="majorBidi" w:hAnsiTheme="majorBidi" w:cstheme="majorBidi"/>
          <w:sz w:val="28"/>
          <w:szCs w:val="28"/>
        </w:rPr>
        <w:t xml:space="preserve">he well-defined ‘market-centers’. </w:t>
      </w:r>
      <w:r w:rsidRPr="0069287A">
        <w:rPr>
          <w:rFonts w:asciiTheme="majorBidi" w:hAnsiTheme="majorBidi" w:cstheme="majorBidi"/>
          <w:sz w:val="28"/>
          <w:szCs w:val="28"/>
        </w:rPr>
        <w:t xml:space="preserve">It had an extended reach by transcending the porous boundaries of an uncomfortably organized </w:t>
      </w:r>
      <w:proofErr w:type="spellStart"/>
      <w:r w:rsidRPr="0069287A">
        <w:rPr>
          <w:rFonts w:asciiTheme="majorBidi" w:hAnsiTheme="majorBidi" w:cstheme="majorBidi"/>
          <w:sz w:val="28"/>
          <w:szCs w:val="28"/>
        </w:rPr>
        <w:t>rurality</w:t>
      </w:r>
      <w:proofErr w:type="spellEnd"/>
      <w:r w:rsidRPr="0069287A">
        <w:rPr>
          <w:rFonts w:asciiTheme="majorBidi" w:hAnsiTheme="majorBidi" w:cstheme="majorBidi"/>
          <w:sz w:val="28"/>
          <w:szCs w:val="28"/>
        </w:rPr>
        <w:t xml:space="preserve">. But, notions like ‘insulated </w:t>
      </w:r>
      <w:proofErr w:type="spellStart"/>
      <w:r w:rsidRPr="0069287A">
        <w:rPr>
          <w:rFonts w:asciiTheme="majorBidi" w:hAnsiTheme="majorBidi" w:cstheme="majorBidi"/>
          <w:sz w:val="28"/>
          <w:szCs w:val="28"/>
        </w:rPr>
        <w:t>rurality</w:t>
      </w:r>
      <w:proofErr w:type="spellEnd"/>
      <w:r w:rsidRPr="0069287A">
        <w:rPr>
          <w:rFonts w:asciiTheme="majorBidi" w:hAnsiTheme="majorBidi" w:cstheme="majorBidi"/>
          <w:sz w:val="28"/>
          <w:szCs w:val="28"/>
        </w:rPr>
        <w:t>’ and ‘</w:t>
      </w:r>
      <w:proofErr w:type="spellStart"/>
      <w:r w:rsidRPr="0069287A">
        <w:rPr>
          <w:rFonts w:asciiTheme="majorBidi" w:hAnsiTheme="majorBidi" w:cstheme="majorBidi"/>
          <w:sz w:val="28"/>
          <w:szCs w:val="28"/>
        </w:rPr>
        <w:t>dis</w:t>
      </w:r>
      <w:proofErr w:type="spellEnd"/>
      <w:r w:rsidRPr="0069287A">
        <w:rPr>
          <w:rFonts w:asciiTheme="majorBidi" w:hAnsiTheme="majorBidi" w:cstheme="majorBidi"/>
          <w:sz w:val="28"/>
          <w:szCs w:val="28"/>
        </w:rPr>
        <w:t xml:space="preserve">-embedded markets’ still continue as </w:t>
      </w:r>
      <w:r w:rsidRPr="0069287A">
        <w:rPr>
          <w:rFonts w:asciiTheme="majorBidi" w:hAnsiTheme="majorBidi" w:cstheme="majorBidi"/>
          <w:i/>
          <w:iCs/>
          <w:sz w:val="28"/>
          <w:szCs w:val="28"/>
        </w:rPr>
        <w:t>a-priory</w:t>
      </w:r>
      <w:r w:rsidRPr="0069287A">
        <w:rPr>
          <w:rFonts w:asciiTheme="majorBidi" w:hAnsiTheme="majorBidi" w:cstheme="majorBidi"/>
          <w:sz w:val="28"/>
          <w:szCs w:val="28"/>
        </w:rPr>
        <w:t xml:space="preserve"> designations in historiography often without reference to</w:t>
      </w:r>
      <w:r>
        <w:rPr>
          <w:rFonts w:asciiTheme="majorBidi" w:hAnsiTheme="majorBidi" w:cstheme="majorBidi"/>
          <w:sz w:val="28"/>
          <w:szCs w:val="28"/>
        </w:rPr>
        <w:t xml:space="preserve"> a</w:t>
      </w:r>
      <w:r w:rsidRPr="0069287A">
        <w:rPr>
          <w:rFonts w:asciiTheme="majorBidi" w:hAnsiTheme="majorBidi" w:cstheme="majorBidi"/>
          <w:sz w:val="28"/>
          <w:szCs w:val="28"/>
        </w:rPr>
        <w:t xml:space="preserve"> particular set of facts or experiences. The prime export destinations of South Western Coast were incapacitated to pay it back in terms of the commodities which had a secular demand in the</w:t>
      </w:r>
      <w:r>
        <w:rPr>
          <w:rFonts w:asciiTheme="majorBidi" w:hAnsiTheme="majorBidi" w:cstheme="majorBidi"/>
          <w:sz w:val="28"/>
          <w:szCs w:val="28"/>
        </w:rPr>
        <w:t xml:space="preserve"> region like grain and cotton. </w:t>
      </w:r>
      <w:r w:rsidRPr="0069287A">
        <w:rPr>
          <w:rFonts w:asciiTheme="majorBidi" w:hAnsiTheme="majorBidi" w:cstheme="majorBidi"/>
          <w:sz w:val="28"/>
          <w:szCs w:val="28"/>
        </w:rPr>
        <w:t>At the same time, the economies which were exporting commodities of common consumption to the Coast were not intended to receive their payment in kind; in the form of aromatic surplus.</w:t>
      </w:r>
    </w:p>
    <w:p w:rsidR="00E50AEE" w:rsidRDefault="00E50AEE" w:rsidP="00E50AEE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69287A">
        <w:rPr>
          <w:rFonts w:asciiTheme="majorBidi" w:hAnsiTheme="majorBidi" w:cstheme="majorBidi"/>
          <w:sz w:val="28"/>
          <w:szCs w:val="28"/>
        </w:rPr>
        <w:t xml:space="preserve"> Feasibility of an inter-economy barter </w:t>
      </w:r>
      <w:proofErr w:type="gramStart"/>
      <w:r w:rsidRPr="0069287A">
        <w:rPr>
          <w:rFonts w:asciiTheme="majorBidi" w:hAnsiTheme="majorBidi" w:cstheme="majorBidi"/>
          <w:sz w:val="28"/>
          <w:szCs w:val="28"/>
        </w:rPr>
        <w:t>thus  became</w:t>
      </w:r>
      <w:proofErr w:type="gramEnd"/>
      <w:r w:rsidRPr="0069287A">
        <w:rPr>
          <w:rFonts w:asciiTheme="majorBidi" w:hAnsiTheme="majorBidi" w:cstheme="majorBidi"/>
          <w:sz w:val="28"/>
          <w:szCs w:val="28"/>
        </w:rPr>
        <w:t xml:space="preserve"> blurred, indeed through this complex grid. The imminent was an invention of a common infrastructure and vocabulary for commercial practices through which the movement of goods </w:t>
      </w:r>
      <w:proofErr w:type="gramStart"/>
      <w:r w:rsidRPr="0069287A">
        <w:rPr>
          <w:rFonts w:asciiTheme="majorBidi" w:hAnsiTheme="majorBidi" w:cstheme="majorBidi"/>
          <w:sz w:val="28"/>
          <w:szCs w:val="28"/>
        </w:rPr>
        <w:t>could  be</w:t>
      </w:r>
      <w:proofErr w:type="gramEnd"/>
      <w:r w:rsidRPr="0069287A">
        <w:rPr>
          <w:rFonts w:asciiTheme="majorBidi" w:hAnsiTheme="majorBidi" w:cstheme="majorBidi"/>
          <w:sz w:val="28"/>
          <w:szCs w:val="28"/>
        </w:rPr>
        <w:t xml:space="preserve"> facilitated. This paper considers that the initiatives towards this line was very much interior to the farming-economies along the Coast since the practice of exchange was one of their essential and timeworn strategies for subsistence. Incompatibility between portfo</w:t>
      </w:r>
      <w:r>
        <w:rPr>
          <w:rFonts w:asciiTheme="majorBidi" w:hAnsiTheme="majorBidi" w:cstheme="majorBidi"/>
          <w:sz w:val="28"/>
          <w:szCs w:val="28"/>
        </w:rPr>
        <w:t xml:space="preserve">lios like ‘trade’ and ‘forage’, </w:t>
      </w:r>
      <w:r w:rsidRPr="0069287A">
        <w:rPr>
          <w:rFonts w:asciiTheme="majorBidi" w:hAnsiTheme="majorBidi" w:cstheme="majorBidi"/>
          <w:sz w:val="28"/>
          <w:szCs w:val="28"/>
        </w:rPr>
        <w:t xml:space="preserve">‘peasant’ and </w:t>
      </w:r>
      <w:proofErr w:type="gramStart"/>
      <w:r w:rsidRPr="0069287A">
        <w:rPr>
          <w:rFonts w:asciiTheme="majorBidi" w:hAnsiTheme="majorBidi" w:cstheme="majorBidi"/>
          <w:sz w:val="28"/>
          <w:szCs w:val="28"/>
        </w:rPr>
        <w:t>‘merchant’  was</w:t>
      </w:r>
      <w:proofErr w:type="gramEnd"/>
      <w:r w:rsidRPr="0069287A">
        <w:rPr>
          <w:rFonts w:asciiTheme="majorBidi" w:hAnsiTheme="majorBidi" w:cstheme="majorBidi"/>
          <w:sz w:val="28"/>
          <w:szCs w:val="28"/>
        </w:rPr>
        <w:t xml:space="preserve"> less stringently conceptualized/actualized, just as the pre-modern polarity between market </w:t>
      </w:r>
      <w:r w:rsidRPr="0069287A">
        <w:rPr>
          <w:rFonts w:asciiTheme="majorBidi" w:hAnsiTheme="majorBidi" w:cstheme="majorBidi"/>
          <w:sz w:val="28"/>
          <w:szCs w:val="28"/>
        </w:rPr>
        <w:lastRenderedPageBreak/>
        <w:t xml:space="preserve">and </w:t>
      </w:r>
      <w:proofErr w:type="spellStart"/>
      <w:r w:rsidRPr="0069287A">
        <w:rPr>
          <w:rFonts w:asciiTheme="majorBidi" w:hAnsiTheme="majorBidi" w:cstheme="majorBidi"/>
          <w:sz w:val="28"/>
          <w:szCs w:val="28"/>
        </w:rPr>
        <w:t>rurality</w:t>
      </w:r>
      <w:proofErr w:type="spellEnd"/>
      <w:r w:rsidRPr="0069287A">
        <w:rPr>
          <w:rFonts w:asciiTheme="majorBidi" w:hAnsiTheme="majorBidi" w:cstheme="majorBidi"/>
          <w:sz w:val="28"/>
          <w:szCs w:val="28"/>
        </w:rPr>
        <w:t xml:space="preserve">. The epigraphic references of the specie-types from the regions like Malabar and </w:t>
      </w:r>
      <w:proofErr w:type="spellStart"/>
      <w:r w:rsidRPr="0069287A">
        <w:rPr>
          <w:rFonts w:asciiTheme="majorBidi" w:hAnsiTheme="majorBidi" w:cstheme="majorBidi"/>
          <w:sz w:val="28"/>
          <w:szCs w:val="28"/>
        </w:rPr>
        <w:t>Canara</w:t>
      </w:r>
      <w:proofErr w:type="spellEnd"/>
      <w:r w:rsidRPr="0069287A">
        <w:rPr>
          <w:rFonts w:asciiTheme="majorBidi" w:hAnsiTheme="majorBidi" w:cstheme="majorBidi"/>
          <w:sz w:val="28"/>
          <w:szCs w:val="28"/>
        </w:rPr>
        <w:t xml:space="preserve"> as the prime payment-media in transactions, in </w:t>
      </w:r>
      <w:proofErr w:type="spellStart"/>
      <w:r w:rsidRPr="0069287A">
        <w:rPr>
          <w:rFonts w:asciiTheme="majorBidi" w:hAnsiTheme="majorBidi" w:cstheme="majorBidi"/>
          <w:sz w:val="28"/>
          <w:szCs w:val="28"/>
        </w:rPr>
        <w:t>prestations</w:t>
      </w:r>
      <w:proofErr w:type="spellEnd"/>
      <w:r w:rsidRPr="0069287A">
        <w:rPr>
          <w:rFonts w:asciiTheme="majorBidi" w:hAnsiTheme="majorBidi" w:cstheme="majorBidi"/>
          <w:sz w:val="28"/>
          <w:szCs w:val="28"/>
        </w:rPr>
        <w:t xml:space="preserve"> and even in punishments /atonements will be located in </w:t>
      </w:r>
      <w:r>
        <w:rPr>
          <w:rFonts w:asciiTheme="majorBidi" w:hAnsiTheme="majorBidi" w:cstheme="majorBidi"/>
          <w:sz w:val="28"/>
          <w:szCs w:val="28"/>
        </w:rPr>
        <w:t>this light. F</w:t>
      </w:r>
      <w:r w:rsidRPr="0069287A">
        <w:rPr>
          <w:rFonts w:asciiTheme="majorBidi" w:hAnsiTheme="majorBidi" w:cstheme="majorBidi"/>
          <w:sz w:val="28"/>
          <w:szCs w:val="28"/>
        </w:rPr>
        <w:t>inally, this article will conclude by casting doubts on the plausibility of a usage</w:t>
      </w:r>
      <w:r>
        <w:rPr>
          <w:rFonts w:asciiTheme="majorBidi" w:hAnsiTheme="majorBidi" w:cstheme="majorBidi"/>
          <w:sz w:val="28"/>
          <w:szCs w:val="28"/>
        </w:rPr>
        <w:t xml:space="preserve"> i.e. ‘The Market-Center </w:t>
      </w:r>
      <w:r w:rsidRPr="0069287A">
        <w:rPr>
          <w:rFonts w:asciiTheme="majorBidi" w:hAnsiTheme="majorBidi" w:cstheme="majorBidi"/>
          <w:sz w:val="28"/>
          <w:szCs w:val="28"/>
        </w:rPr>
        <w:t xml:space="preserve">as the sole category with definite </w:t>
      </w:r>
      <w:proofErr w:type="spellStart"/>
      <w:r w:rsidRPr="0069287A">
        <w:rPr>
          <w:rFonts w:asciiTheme="majorBidi" w:hAnsiTheme="majorBidi" w:cstheme="majorBidi"/>
          <w:sz w:val="28"/>
          <w:szCs w:val="28"/>
        </w:rPr>
        <w:t>spatio</w:t>
      </w:r>
      <w:proofErr w:type="spellEnd"/>
      <w:r w:rsidRPr="0069287A">
        <w:rPr>
          <w:rFonts w:asciiTheme="majorBidi" w:hAnsiTheme="majorBidi" w:cstheme="majorBidi"/>
          <w:sz w:val="28"/>
          <w:szCs w:val="28"/>
        </w:rPr>
        <w:t xml:space="preserve">-temporal </w:t>
      </w:r>
      <w:proofErr w:type="gramStart"/>
      <w:r w:rsidRPr="0069287A">
        <w:rPr>
          <w:rFonts w:asciiTheme="majorBidi" w:hAnsiTheme="majorBidi" w:cstheme="majorBidi"/>
          <w:sz w:val="28"/>
          <w:szCs w:val="28"/>
        </w:rPr>
        <w:t>constituents  for</w:t>
      </w:r>
      <w:proofErr w:type="gramEnd"/>
      <w:r w:rsidRPr="0069287A">
        <w:rPr>
          <w:rFonts w:asciiTheme="majorBidi" w:hAnsiTheme="majorBidi" w:cstheme="majorBidi"/>
          <w:sz w:val="28"/>
          <w:szCs w:val="28"/>
        </w:rPr>
        <w:t xml:space="preserve"> the understanding of monetary process. Instead, the suggestion is to loo</w:t>
      </w:r>
      <w:r>
        <w:rPr>
          <w:rFonts w:asciiTheme="majorBidi" w:hAnsiTheme="majorBidi" w:cstheme="majorBidi"/>
          <w:sz w:val="28"/>
          <w:szCs w:val="28"/>
        </w:rPr>
        <w:t xml:space="preserve">k for a ‘situation of market’ </w:t>
      </w:r>
      <w:r w:rsidRPr="0069287A">
        <w:rPr>
          <w:rFonts w:asciiTheme="majorBidi" w:hAnsiTheme="majorBidi" w:cstheme="majorBidi"/>
          <w:sz w:val="28"/>
          <w:szCs w:val="28"/>
        </w:rPr>
        <w:t>which was capable of connecting homesteads with famous roadstea</w:t>
      </w:r>
      <w:r>
        <w:rPr>
          <w:rFonts w:asciiTheme="majorBidi" w:hAnsiTheme="majorBidi" w:cstheme="majorBidi"/>
          <w:sz w:val="28"/>
          <w:szCs w:val="28"/>
        </w:rPr>
        <w:t xml:space="preserve">ds in the oceanic </w:t>
      </w:r>
      <w:proofErr w:type="spellStart"/>
      <w:r>
        <w:rPr>
          <w:rFonts w:asciiTheme="majorBidi" w:hAnsiTheme="majorBidi" w:cstheme="majorBidi"/>
          <w:sz w:val="28"/>
          <w:szCs w:val="28"/>
        </w:rPr>
        <w:t>tradescape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69287A">
        <w:rPr>
          <w:rFonts w:asciiTheme="majorBidi" w:hAnsiTheme="majorBidi" w:cstheme="majorBidi"/>
          <w:sz w:val="28"/>
          <w:szCs w:val="28"/>
        </w:rPr>
        <w:t xml:space="preserve">often with ‘invisible’ (vernacular) taxonomies of commerce and pre-modern </w:t>
      </w:r>
      <w:proofErr w:type="spellStart"/>
      <w:r w:rsidRPr="0069287A">
        <w:rPr>
          <w:rFonts w:asciiTheme="majorBidi" w:hAnsiTheme="majorBidi" w:cstheme="majorBidi"/>
          <w:sz w:val="28"/>
          <w:szCs w:val="28"/>
        </w:rPr>
        <w:t>fiscality</w:t>
      </w:r>
      <w:proofErr w:type="spellEnd"/>
      <w:r w:rsidRPr="0069287A">
        <w:rPr>
          <w:rFonts w:asciiTheme="majorBidi" w:hAnsiTheme="majorBidi" w:cstheme="majorBidi"/>
          <w:sz w:val="28"/>
          <w:szCs w:val="28"/>
        </w:rPr>
        <w:t xml:space="preserve">.   </w:t>
      </w:r>
    </w:p>
    <w:p w:rsidR="00E50AEE" w:rsidRDefault="00E50AEE" w:rsidP="00E50AEE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p w:rsidR="00E50AEE" w:rsidRPr="0069287A" w:rsidRDefault="00E50AEE" w:rsidP="00E50AEE">
      <w:pPr>
        <w:ind w:firstLine="72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LGC Sans">
    <w:charset w:val="00"/>
    <w:family w:val="auto"/>
    <w:pitch w:val="variable"/>
    <w:sig w:usb0="00000000" w:usb1="00000000" w:usb2="00000000" w:usb3="00000000" w:csb0="00000000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AEE"/>
    <w:rsid w:val="001101A0"/>
    <w:rsid w:val="00E50AEE"/>
    <w:rsid w:val="00EE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AEE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E50AEE"/>
    <w:pPr>
      <w:widowControl w:val="0"/>
      <w:suppressLineNumbers/>
      <w:suppressAutoHyphens/>
      <w:spacing w:after="0" w:line="240" w:lineRule="auto"/>
    </w:pPr>
    <w:rPr>
      <w:rFonts w:ascii="Nimbus Roman No9 L" w:eastAsia="DejaVu LGC Sans" w:hAnsi="Nimbus Roman No9 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>Bibliotheca Alexandrina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2009-02-23T13:45:00Z</dcterms:created>
  <dcterms:modified xsi:type="dcterms:W3CDTF">2009-02-23T13:45:00Z</dcterms:modified>
</cp:coreProperties>
</file>