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C8B" w:rsidRPr="00F81F38" w:rsidRDefault="00D63C8B" w:rsidP="00D63C8B">
      <w:pPr>
        <w:widowControl w:val="0"/>
        <w:autoSpaceDE w:val="0"/>
        <w:autoSpaceDN w:val="0"/>
        <w:adjustRightInd w:val="0"/>
        <w:ind w:firstLine="284"/>
        <w:jc w:val="both"/>
        <w:rPr>
          <w:rFonts w:asciiTheme="majorBidi" w:eastAsia="Μοντέρνα" w:hAnsiTheme="majorBidi" w:cstheme="majorBidi"/>
          <w:b/>
          <w:bCs/>
          <w:sz w:val="28"/>
          <w:szCs w:val="28"/>
          <w:lang w:eastAsia="el-GR" w:bidi="en-US"/>
        </w:rPr>
      </w:pPr>
      <w:r w:rsidRPr="00F81F38">
        <w:rPr>
          <w:rFonts w:asciiTheme="majorBidi" w:eastAsia="Μοντέρνα" w:hAnsiTheme="majorBidi" w:cstheme="majorBidi"/>
          <w:b/>
          <w:bCs/>
          <w:sz w:val="28"/>
          <w:szCs w:val="28"/>
          <w:lang w:eastAsia="el-GR" w:bidi="en-US"/>
        </w:rPr>
        <w:t>Korklu Laryea</w:t>
      </w:r>
    </w:p>
    <w:p w:rsidR="00D63C8B" w:rsidRDefault="00D63C8B" w:rsidP="00D63C8B">
      <w:pPr>
        <w:widowControl w:val="0"/>
        <w:autoSpaceDE w:val="0"/>
        <w:autoSpaceDN w:val="0"/>
        <w:adjustRightInd w:val="0"/>
        <w:ind w:firstLine="284"/>
        <w:jc w:val="both"/>
        <w:rPr>
          <w:rFonts w:asciiTheme="majorBidi" w:eastAsia="Μοντέρνα" w:hAnsiTheme="majorBidi" w:cstheme="majorBidi"/>
          <w:sz w:val="28"/>
          <w:szCs w:val="28"/>
          <w:lang w:eastAsia="el-GR" w:bidi="en-US"/>
        </w:rPr>
      </w:pPr>
      <w:r w:rsidRPr="000544BD">
        <w:rPr>
          <w:rFonts w:asciiTheme="majorBidi" w:eastAsia="Μοντέρνα" w:hAnsiTheme="majorBidi" w:cstheme="majorBidi"/>
          <w:sz w:val="28"/>
          <w:szCs w:val="28"/>
          <w:lang w:eastAsia="el-GR" w:bidi="en-US"/>
        </w:rPr>
        <w:t xml:space="preserve"> </w:t>
      </w:r>
      <w:r w:rsidRPr="00F81F38">
        <w:rPr>
          <w:rFonts w:asciiTheme="majorBidi" w:eastAsia="Μοντέρνα" w:hAnsiTheme="majorBidi" w:cstheme="majorBidi"/>
          <w:sz w:val="28"/>
          <w:szCs w:val="28"/>
          <w:lang w:val="en-GB" w:eastAsia="el-GR" w:bidi="en-US"/>
        </w:rPr>
        <w:t>Institute of African Studies,</w:t>
      </w:r>
      <w:r w:rsidRPr="00F81F38">
        <w:rPr>
          <w:rFonts w:asciiTheme="majorBidi" w:eastAsia="Μοντέρνα" w:hAnsiTheme="majorBidi" w:cstheme="majorBidi"/>
          <w:b/>
          <w:bCs/>
          <w:sz w:val="28"/>
          <w:szCs w:val="28"/>
          <w:lang w:val="en-GB" w:eastAsia="el-GR" w:bidi="en-US"/>
        </w:rPr>
        <w:t xml:space="preserve"> </w:t>
      </w:r>
      <w:r w:rsidRPr="00F81F38">
        <w:rPr>
          <w:rFonts w:asciiTheme="majorBidi" w:eastAsia="Μοντέρνα" w:hAnsiTheme="majorBidi" w:cstheme="majorBidi"/>
          <w:sz w:val="28"/>
          <w:szCs w:val="28"/>
          <w:lang w:val="en-GB" w:eastAsia="el-GR" w:bidi="en-US"/>
        </w:rPr>
        <w:t>University of Ghana</w:t>
      </w:r>
      <w:r w:rsidRPr="000544BD">
        <w:rPr>
          <w:rFonts w:asciiTheme="majorBidi" w:eastAsia="Μοντέρνα" w:hAnsiTheme="majorBidi" w:cstheme="majorBidi"/>
          <w:sz w:val="28"/>
          <w:szCs w:val="28"/>
          <w:lang w:eastAsia="el-GR" w:bidi="en-US"/>
        </w:rPr>
        <w:t xml:space="preserve">   </w:t>
      </w:r>
    </w:p>
    <w:p w:rsidR="00D63C8B" w:rsidRDefault="00D63C8B" w:rsidP="00D63C8B">
      <w:pPr>
        <w:widowControl w:val="0"/>
        <w:autoSpaceDE w:val="0"/>
        <w:autoSpaceDN w:val="0"/>
        <w:adjustRightInd w:val="0"/>
        <w:ind w:firstLine="284"/>
        <w:jc w:val="both"/>
        <w:rPr>
          <w:rFonts w:asciiTheme="majorBidi" w:eastAsia="Μοντέρνα" w:hAnsiTheme="majorBidi" w:cstheme="majorBidi"/>
          <w:sz w:val="28"/>
          <w:szCs w:val="28"/>
          <w:lang w:eastAsia="el-GR" w:bidi="en-US"/>
        </w:rPr>
      </w:pPr>
    </w:p>
    <w:p w:rsidR="00D63C8B" w:rsidRPr="00F81F38" w:rsidRDefault="00D63C8B" w:rsidP="00D63C8B">
      <w:pPr>
        <w:widowControl w:val="0"/>
        <w:autoSpaceDE w:val="0"/>
        <w:autoSpaceDN w:val="0"/>
        <w:adjustRightInd w:val="0"/>
        <w:ind w:firstLine="284"/>
        <w:jc w:val="both"/>
        <w:rPr>
          <w:rFonts w:asciiTheme="majorBidi" w:eastAsia="Μοντέρνα" w:hAnsiTheme="majorBidi" w:cstheme="majorBidi"/>
          <w:b/>
          <w:sz w:val="28"/>
          <w:szCs w:val="28"/>
          <w:lang w:val="en-GB" w:eastAsia="el-GR" w:bidi="en-US"/>
        </w:rPr>
      </w:pPr>
      <w:r w:rsidRPr="00F81F38">
        <w:rPr>
          <w:rFonts w:asciiTheme="majorBidi" w:eastAsia="Μοντέρνα" w:hAnsiTheme="majorBidi" w:cstheme="majorBidi"/>
          <w:b/>
          <w:sz w:val="28"/>
          <w:szCs w:val="28"/>
          <w:lang w:val="en-GB" w:eastAsia="el-GR" w:bidi="en-US"/>
        </w:rPr>
        <w:t>‘Noteworthy’: An Appreciation of Iconography in the Ghanaian Cedi</w:t>
      </w:r>
    </w:p>
    <w:p w:rsidR="00D63C8B" w:rsidRPr="00F81F38" w:rsidRDefault="00D63C8B" w:rsidP="00D63C8B">
      <w:pPr>
        <w:widowControl w:val="0"/>
        <w:autoSpaceDE w:val="0"/>
        <w:autoSpaceDN w:val="0"/>
        <w:adjustRightInd w:val="0"/>
        <w:jc w:val="both"/>
        <w:rPr>
          <w:rFonts w:asciiTheme="majorBidi" w:eastAsia="Μοντέρνα" w:hAnsiTheme="majorBidi" w:cstheme="majorBidi"/>
          <w:sz w:val="28"/>
          <w:szCs w:val="28"/>
          <w:lang w:val="en-GB" w:eastAsia="el-GR" w:bidi="en-US"/>
        </w:rPr>
      </w:pPr>
    </w:p>
    <w:p w:rsidR="00D63C8B" w:rsidRDefault="00D63C8B" w:rsidP="00D63C8B">
      <w:pPr>
        <w:widowControl w:val="0"/>
        <w:autoSpaceDE w:val="0"/>
        <w:autoSpaceDN w:val="0"/>
        <w:adjustRightInd w:val="0"/>
        <w:ind w:firstLine="284"/>
        <w:jc w:val="both"/>
        <w:rPr>
          <w:rFonts w:asciiTheme="majorBidi" w:eastAsia="Μοντέρνα" w:hAnsiTheme="majorBidi" w:cstheme="majorBidi"/>
          <w:sz w:val="28"/>
          <w:szCs w:val="28"/>
          <w:lang w:val="en-GB" w:eastAsia="el-GR" w:bidi="en-US"/>
        </w:rPr>
      </w:pPr>
      <w:smartTag w:uri="urn:schemas-microsoft-com:office:smarttags" w:element="place">
        <w:smartTag w:uri="urn:schemas-microsoft-com:office:smarttags" w:element="country-region">
          <w:r w:rsidRPr="00F81F38">
            <w:rPr>
              <w:rFonts w:asciiTheme="majorBidi" w:eastAsia="Μοντέρνα" w:hAnsiTheme="majorBidi" w:cstheme="majorBidi"/>
              <w:sz w:val="28"/>
              <w:szCs w:val="28"/>
              <w:lang w:val="en-GB" w:eastAsia="el-GR" w:bidi="en-US"/>
            </w:rPr>
            <w:t>Ghana</w:t>
          </w:r>
        </w:smartTag>
      </w:smartTag>
      <w:r w:rsidRPr="00F81F38">
        <w:rPr>
          <w:rFonts w:asciiTheme="majorBidi" w:eastAsia="Μοντέρνα" w:hAnsiTheme="majorBidi" w:cstheme="majorBidi"/>
          <w:sz w:val="28"/>
          <w:szCs w:val="28"/>
          <w:lang w:val="en-GB" w:eastAsia="el-GR" w:bidi="en-US"/>
        </w:rPr>
        <w:t xml:space="preserve"> has changed her currency notes a number of times since 1957, and through these different phases, the iconography on the notes has reflected the political ideology of the times. </w:t>
      </w:r>
      <w:proofErr w:type="gramStart"/>
      <w:r w:rsidRPr="00F81F38">
        <w:rPr>
          <w:rFonts w:asciiTheme="majorBidi" w:eastAsia="Μοντέρνα" w:hAnsiTheme="majorBidi" w:cstheme="majorBidi"/>
          <w:sz w:val="28"/>
          <w:szCs w:val="28"/>
          <w:lang w:val="en-GB" w:eastAsia="el-GR" w:bidi="en-US"/>
        </w:rPr>
        <w:t>One unchanging information</w:t>
      </w:r>
      <w:proofErr w:type="gramEnd"/>
      <w:r w:rsidRPr="00F81F38">
        <w:rPr>
          <w:rFonts w:asciiTheme="majorBidi" w:eastAsia="Μοντέρνα" w:hAnsiTheme="majorBidi" w:cstheme="majorBidi"/>
          <w:sz w:val="28"/>
          <w:szCs w:val="28"/>
          <w:lang w:val="en-GB" w:eastAsia="el-GR" w:bidi="en-US"/>
        </w:rPr>
        <w:t xml:space="preserve"> found on the cedi is the signature of the Governor of the Bank of Ghana, which gives a clue to the economic history and trajectory of </w:t>
      </w:r>
      <w:smartTag w:uri="urn:schemas-microsoft-com:office:smarttags" w:element="place">
        <w:smartTag w:uri="urn:schemas-microsoft-com:office:smarttags" w:element="country-region">
          <w:r w:rsidRPr="00F81F38">
            <w:rPr>
              <w:rFonts w:asciiTheme="majorBidi" w:eastAsia="Μοντέρνα" w:hAnsiTheme="majorBidi" w:cstheme="majorBidi"/>
              <w:sz w:val="28"/>
              <w:szCs w:val="28"/>
              <w:lang w:val="en-GB" w:eastAsia="el-GR" w:bidi="en-US"/>
            </w:rPr>
            <w:t>Ghana</w:t>
          </w:r>
        </w:smartTag>
      </w:smartTag>
      <w:r w:rsidRPr="00F81F38">
        <w:rPr>
          <w:rFonts w:asciiTheme="majorBidi" w:eastAsia="Μοντέρνα" w:hAnsiTheme="majorBidi" w:cstheme="majorBidi"/>
          <w:sz w:val="28"/>
          <w:szCs w:val="28"/>
          <w:lang w:val="en-GB" w:eastAsia="el-GR" w:bidi="en-US"/>
        </w:rPr>
        <w:t>. What appears on our currency notes (the cedi) has been informed by real social, cultural, political and economic events and are significant in their own right. However, the portraiture and pictures of people engaged in economic activity represented on the notes can easily be overlooked in the writing of our history which often tends to be political. However, these ‘unsung’ heroes have appeared on our notes and are worth reckoning with for a more wholistic understanding o</w:t>
      </w:r>
      <w:r>
        <w:rPr>
          <w:rFonts w:asciiTheme="majorBidi" w:eastAsia="Μοντέρνα" w:hAnsiTheme="majorBidi" w:cstheme="majorBidi"/>
          <w:sz w:val="28"/>
          <w:szCs w:val="28"/>
          <w:lang w:val="en-GB" w:eastAsia="el-GR" w:bidi="en-US"/>
        </w:rPr>
        <w:t>f Ghanaian society and history.</w:t>
      </w:r>
    </w:p>
    <w:p w:rsidR="00D63C8B" w:rsidRPr="00F81F38" w:rsidRDefault="00D63C8B" w:rsidP="00D63C8B">
      <w:pPr>
        <w:widowControl w:val="0"/>
        <w:autoSpaceDE w:val="0"/>
        <w:autoSpaceDN w:val="0"/>
        <w:adjustRightInd w:val="0"/>
        <w:ind w:firstLine="284"/>
        <w:jc w:val="both"/>
        <w:rPr>
          <w:rFonts w:asciiTheme="majorBidi" w:eastAsia="Μοντέρνα" w:hAnsiTheme="majorBidi" w:cstheme="majorBidi"/>
          <w:sz w:val="28"/>
          <w:szCs w:val="28"/>
          <w:lang w:val="en-GB" w:eastAsia="el-GR" w:bidi="en-US"/>
        </w:rPr>
      </w:pPr>
    </w:p>
    <w:p w:rsidR="00D63C8B" w:rsidRDefault="00D63C8B" w:rsidP="00D63C8B">
      <w:pPr>
        <w:widowControl w:val="0"/>
        <w:autoSpaceDE w:val="0"/>
        <w:autoSpaceDN w:val="0"/>
        <w:adjustRightInd w:val="0"/>
        <w:ind w:firstLine="284"/>
        <w:jc w:val="both"/>
        <w:rPr>
          <w:rFonts w:asciiTheme="majorBidi" w:eastAsia="Μοντέρνα" w:hAnsiTheme="majorBidi" w:cstheme="majorBidi"/>
          <w:sz w:val="28"/>
          <w:szCs w:val="28"/>
          <w:lang w:val="en-GB" w:eastAsia="el-GR" w:bidi="en-US"/>
        </w:rPr>
      </w:pPr>
      <w:r w:rsidRPr="00F81F38">
        <w:rPr>
          <w:rFonts w:asciiTheme="majorBidi" w:eastAsia="Μοντέρνα" w:hAnsiTheme="majorBidi" w:cstheme="majorBidi"/>
          <w:sz w:val="28"/>
          <w:szCs w:val="28"/>
          <w:lang w:val="en-GB" w:eastAsia="el-GR" w:bidi="en-US"/>
        </w:rPr>
        <w:t xml:space="preserve">Currency in our monetary society has lent itself as one of the sources of honouring our unsung heroes. However, Ghanaian society tends to be very much an oral society so the honouring of our heroes tends to border on what is not necessarily written; it can be oral (sung, spoken, recited, or chanted), be performed or represented in our material culture. The focus of the paper is on the other ways of honouring people portrayed on our currency; specifically those who are not political figures; those people engaged in economic activities like fishing, farming, weaving and marketing. These are people who scarcely ever make it to the forefront of society. However, for some reason, they have been chosen to grace our national currency. What does society say about them? How do we show our appreciation to the farmer, market woman, fisherman, or the weaver? What do we learn from the effigies on the cedi? Do these icons teach us anything? If ‘money talks’, </w:t>
      </w:r>
      <w:r w:rsidRPr="00F81F38">
        <w:rPr>
          <w:rFonts w:asciiTheme="majorBidi" w:eastAsia="Μοντέρνα" w:hAnsiTheme="majorBidi" w:cstheme="majorBidi"/>
          <w:sz w:val="28"/>
          <w:szCs w:val="28"/>
          <w:lang w:val="en-GB" w:eastAsia="el-GR" w:bidi="en-US"/>
        </w:rPr>
        <w:lastRenderedPageBreak/>
        <w:t>and indeed, it does, I think it is not just talking monetary issues; for behind the icons lie information that can be gleaned about the industries they are engaged in –the recreational, religious to the scientific. Often considered ephemera, money is often used as a medium for transaction; money does talk but there is the need to interrogate it beyond what it is obviously saying. Some of the currency notes featuring farmers, fishermen, weavers and market women will be used to unearth this information. The indigenous ways of honouring these people is what is of import to this paper.</w:t>
      </w:r>
    </w:p>
    <w:p w:rsidR="00D63C8B" w:rsidRDefault="00D63C8B" w:rsidP="00D63C8B">
      <w:pPr>
        <w:widowControl w:val="0"/>
        <w:autoSpaceDE w:val="0"/>
        <w:autoSpaceDN w:val="0"/>
        <w:adjustRightInd w:val="0"/>
        <w:ind w:firstLine="284"/>
        <w:jc w:val="both"/>
        <w:rPr>
          <w:rFonts w:asciiTheme="majorBidi" w:eastAsia="Μοντέρνα" w:hAnsiTheme="majorBidi" w:cstheme="majorBidi"/>
          <w:sz w:val="28"/>
          <w:szCs w:val="28"/>
          <w:lang w:val="en-GB" w:eastAsia="el-GR" w:bidi="en-US"/>
        </w:rPr>
      </w:pPr>
    </w:p>
    <w:p w:rsidR="00D63C8B" w:rsidRPr="00F81F38" w:rsidRDefault="00D63C8B" w:rsidP="00D63C8B">
      <w:pPr>
        <w:widowControl w:val="0"/>
        <w:autoSpaceDE w:val="0"/>
        <w:autoSpaceDN w:val="0"/>
        <w:adjustRightInd w:val="0"/>
        <w:ind w:firstLine="284"/>
        <w:jc w:val="center"/>
        <w:rPr>
          <w:rFonts w:asciiTheme="majorBidi" w:eastAsia="Μοντέρνα" w:hAnsiTheme="majorBidi" w:cstheme="majorBidi"/>
          <w:sz w:val="28"/>
          <w:szCs w:val="28"/>
          <w:lang w:val="en-GB" w:eastAsia="el-GR" w:bidi="en-US"/>
        </w:rPr>
      </w:pPr>
      <w:r>
        <w:rPr>
          <w:rFonts w:asciiTheme="majorBidi" w:eastAsia="Μοντέρνα" w:hAnsiTheme="majorBidi" w:cstheme="majorBidi"/>
          <w:sz w:val="28"/>
          <w:szCs w:val="28"/>
          <w:lang w:val="en-GB" w:eastAsia="el-GR" w:bidi="en-US"/>
        </w:rPr>
        <w:t>-------------------------------------------------</w:t>
      </w:r>
    </w:p>
    <w:p w:rsidR="00D63C8B" w:rsidRPr="000544BD" w:rsidRDefault="00D63C8B" w:rsidP="00D63C8B">
      <w:pPr>
        <w:widowControl w:val="0"/>
        <w:autoSpaceDE w:val="0"/>
        <w:autoSpaceDN w:val="0"/>
        <w:adjustRightInd w:val="0"/>
        <w:ind w:firstLine="284"/>
        <w:jc w:val="both"/>
        <w:rPr>
          <w:rFonts w:asciiTheme="majorBidi" w:eastAsia="Μοντέρνα" w:hAnsiTheme="majorBidi" w:cstheme="majorBidi"/>
          <w:sz w:val="28"/>
          <w:szCs w:val="28"/>
          <w:lang w:eastAsia="el-GR" w:bidi="en-US"/>
        </w:rPr>
      </w:pPr>
      <w:r w:rsidRPr="000544BD">
        <w:rPr>
          <w:rFonts w:asciiTheme="majorBidi" w:eastAsia="Μοντέρνα" w:hAnsiTheme="majorBidi" w:cstheme="majorBidi"/>
          <w:sz w:val="28"/>
          <w:szCs w:val="28"/>
          <w:lang w:eastAsia="el-GR" w:bidi="en-US"/>
        </w:rPr>
        <w:t xml:space="preserve">                                         </w:t>
      </w:r>
    </w:p>
    <w:p w:rsidR="00D63C8B" w:rsidRPr="000544BD" w:rsidRDefault="00D63C8B" w:rsidP="00D63C8B">
      <w:pPr>
        <w:widowControl w:val="0"/>
        <w:autoSpaceDE w:val="0"/>
        <w:autoSpaceDN w:val="0"/>
        <w:adjustRightInd w:val="0"/>
        <w:ind w:firstLine="284"/>
        <w:jc w:val="both"/>
        <w:rPr>
          <w:rFonts w:asciiTheme="majorBidi" w:eastAsia="Μοντέρνα" w:hAnsiTheme="majorBidi" w:cstheme="majorBidi"/>
          <w:b/>
          <w:bCs/>
          <w:sz w:val="28"/>
          <w:szCs w:val="28"/>
          <w:u w:val="single"/>
          <w:lang w:eastAsia="el-GR" w:bidi="en-US"/>
        </w:rPr>
      </w:pPr>
    </w:p>
    <w:p w:rsidR="00D63C8B" w:rsidRPr="00BE4357" w:rsidRDefault="00D63C8B" w:rsidP="00D63C8B">
      <w:pPr>
        <w:widowControl w:val="0"/>
        <w:autoSpaceDE w:val="0"/>
        <w:autoSpaceDN w:val="0"/>
        <w:adjustRightInd w:val="0"/>
        <w:ind w:firstLine="284"/>
        <w:rPr>
          <w:rFonts w:asciiTheme="majorBidi" w:eastAsia="Μοντέρνα" w:hAnsiTheme="majorBidi" w:cstheme="majorBidi"/>
          <w:sz w:val="28"/>
          <w:szCs w:val="28"/>
          <w:lang w:eastAsia="el-GR" w:bidi="en-US"/>
        </w:rPr>
      </w:pPr>
    </w:p>
    <w:p w:rsidR="001101A0" w:rsidRDefault="001101A0"/>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Μοντέρνα">
    <w:altName w:val="Arial"/>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63C8B"/>
    <w:rsid w:val="001101A0"/>
    <w:rsid w:val="00D63C8B"/>
    <w:rsid w:val="00EE60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C8B"/>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2246</Characters>
  <Application>Microsoft Office Word</Application>
  <DocSecurity>0</DocSecurity>
  <Lines>18</Lines>
  <Paragraphs>5</Paragraphs>
  <ScaleCrop>false</ScaleCrop>
  <Company>Bibliotheca Alexandrina</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2009-02-23T13:48:00Z</dcterms:created>
  <dcterms:modified xsi:type="dcterms:W3CDTF">2009-02-23T13:48:00Z</dcterms:modified>
</cp:coreProperties>
</file>