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3B" w:rsidRPr="00164A54" w:rsidRDefault="003A5C3B" w:rsidP="003A5C3B">
      <w:pPr>
        <w:bidi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 xml:space="preserve">محمود جابر مجلي </w:t>
      </w:r>
    </w:p>
    <w:p w:rsidR="003A5C3B" w:rsidRPr="00164A54" w:rsidRDefault="003A5C3B" w:rsidP="003A5C3B">
      <w:pPr>
        <w:bidi/>
        <w:ind w:hanging="18"/>
        <w:rPr>
          <w:rFonts w:cs="Traditional Arabic"/>
          <w:sz w:val="32"/>
          <w:szCs w:val="32"/>
          <w:rtl/>
        </w:rPr>
      </w:pPr>
    </w:p>
    <w:p w:rsidR="003A5C3B" w:rsidRPr="00164A54" w:rsidRDefault="003A5C3B" w:rsidP="003A5C3B">
      <w:pPr>
        <w:bidi/>
        <w:ind w:hanging="18"/>
        <w:jc w:val="center"/>
        <w:rPr>
          <w:rFonts w:ascii="Calibri" w:eastAsia="Times New Roman" w:hAnsi="Calibri" w:cs="Traditional Arabic"/>
          <w:b/>
          <w:bCs/>
          <w:sz w:val="32"/>
          <w:szCs w:val="32"/>
          <w:rtl/>
        </w:rPr>
      </w:pPr>
      <w:r w:rsidRPr="00164A54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المعاملات النقدية </w:t>
      </w:r>
      <w:r w:rsidRPr="00164A54">
        <w:rPr>
          <w:rFonts w:cs="Traditional Arabic" w:hint="cs"/>
          <w:b/>
          <w:bCs/>
          <w:sz w:val="32"/>
          <w:szCs w:val="32"/>
          <w:rtl/>
        </w:rPr>
        <w:t>في</w:t>
      </w:r>
      <w:r w:rsidRPr="00164A54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المغرب الأقصى </w:t>
      </w:r>
      <w:r w:rsidRPr="00164A54">
        <w:rPr>
          <w:rFonts w:cs="Traditional Arabic" w:hint="cs"/>
          <w:b/>
          <w:bCs/>
          <w:sz w:val="32"/>
          <w:szCs w:val="32"/>
          <w:rtl/>
        </w:rPr>
        <w:t>في</w:t>
      </w:r>
      <w:r w:rsidRPr="00164A54">
        <w:rPr>
          <w:rFonts w:ascii="Calibri" w:eastAsia="Times New Roman" w:hAnsi="Calibri" w:cs="Traditional Arabic" w:hint="cs"/>
          <w:b/>
          <w:bCs/>
          <w:sz w:val="32"/>
          <w:szCs w:val="32"/>
          <w:rtl/>
        </w:rPr>
        <w:t xml:space="preserve"> عهد الأسرة السعدية</w:t>
      </w:r>
    </w:p>
    <w:p w:rsidR="003A5C3B" w:rsidRPr="00164A54" w:rsidRDefault="003A5C3B" w:rsidP="003A5C3B">
      <w:pPr>
        <w:bidi/>
        <w:ind w:firstLine="720"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سعت أغلب </w:t>
      </w:r>
      <w:proofErr w:type="gramStart"/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مدن</w:t>
      </w:r>
      <w:proofErr w:type="gramEnd"/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المغرب الأقصى إلى إصدار النقود وذلك لأهميتها </w:t>
      </w:r>
      <w:r w:rsidRPr="00164A54">
        <w:rPr>
          <w:rFonts w:cs="Traditional Arabic" w:hint="cs"/>
          <w:sz w:val="32"/>
          <w:szCs w:val="32"/>
          <w:rtl/>
        </w:rPr>
        <w:t>في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التبادل </w:t>
      </w:r>
      <w:r w:rsidRPr="00164A54">
        <w:rPr>
          <w:rFonts w:cs="Traditional Arabic" w:hint="cs"/>
          <w:sz w:val="32"/>
          <w:szCs w:val="32"/>
          <w:rtl/>
        </w:rPr>
        <w:t>التجاري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والمعاملات </w:t>
      </w:r>
      <w:r w:rsidRPr="00164A54">
        <w:rPr>
          <w:rFonts w:cs="Traditional Arabic" w:hint="cs"/>
          <w:sz w:val="32"/>
          <w:szCs w:val="32"/>
          <w:rtl/>
        </w:rPr>
        <w:t>الاقتصادية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.</w:t>
      </w:r>
      <w:r w:rsidRPr="00164A54">
        <w:rPr>
          <w:rFonts w:cs="Traditional Arabic" w:hint="cs"/>
          <w:sz w:val="32"/>
          <w:szCs w:val="32"/>
          <w:rtl/>
        </w:rPr>
        <w:t xml:space="preserve"> 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وقد تنوعت النقود بالمغرب خلال القرن السادس عشر ما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بين نقود </w:t>
      </w:r>
      <w:proofErr w:type="spellStart"/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وطاسية</w:t>
      </w:r>
      <w:proofErr w:type="spellEnd"/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وأخرى سعدية .</w:t>
      </w:r>
    </w:p>
    <w:p w:rsidR="003A5C3B" w:rsidRPr="00164A54" w:rsidRDefault="003A5C3B" w:rsidP="003A5C3B">
      <w:pPr>
        <w:bidi/>
        <w:ind w:firstLine="720"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أما </w:t>
      </w:r>
      <w:r w:rsidRPr="00164A54">
        <w:rPr>
          <w:rFonts w:cs="Traditional Arabic" w:hint="cs"/>
          <w:sz w:val="32"/>
          <w:szCs w:val="32"/>
          <w:rtl/>
        </w:rPr>
        <w:t>في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المدن الواقعة على الساحل فقد راج فيها استخدام النقود الأوروبية بحكم وجود علاقات تجارية بين هذه المدن وأور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و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با هذا من جهة ومن جهة أخرى بحكم خضوع بعض المدن المغربية الساحلية للحكم </w:t>
      </w:r>
      <w:r w:rsidRPr="00164A54">
        <w:rPr>
          <w:rFonts w:cs="Traditional Arabic" w:hint="cs"/>
          <w:sz w:val="32"/>
          <w:szCs w:val="32"/>
          <w:rtl/>
        </w:rPr>
        <w:t>الأور</w:t>
      </w:r>
      <w:r>
        <w:rPr>
          <w:rFonts w:cs="Traditional Arabic" w:hint="cs"/>
          <w:sz w:val="32"/>
          <w:szCs w:val="32"/>
          <w:rtl/>
        </w:rPr>
        <w:t>و</w:t>
      </w:r>
      <w:r w:rsidRPr="00164A54">
        <w:rPr>
          <w:rFonts w:cs="Traditional Arabic" w:hint="cs"/>
          <w:sz w:val="32"/>
          <w:szCs w:val="32"/>
          <w:rtl/>
        </w:rPr>
        <w:t>بي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المباشر </w:t>
      </w:r>
      <w:r w:rsidRPr="00164A54">
        <w:rPr>
          <w:rFonts w:cs="Traditional Arabic" w:hint="cs"/>
          <w:sz w:val="32"/>
          <w:szCs w:val="32"/>
          <w:rtl/>
        </w:rPr>
        <w:t>في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تلك  الفترة ومن أمثلة ذلك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: الريال </w:t>
      </w:r>
      <w:r w:rsidRPr="00164A54">
        <w:rPr>
          <w:rFonts w:cs="Traditional Arabic" w:hint="cs"/>
          <w:sz w:val="32"/>
          <w:szCs w:val="32"/>
          <w:rtl/>
        </w:rPr>
        <w:t>البرتغالي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والريال </w:t>
      </w:r>
      <w:r>
        <w:rPr>
          <w:rFonts w:cs="Traditional Arabic" w:hint="cs"/>
          <w:sz w:val="32"/>
          <w:szCs w:val="32"/>
          <w:rtl/>
        </w:rPr>
        <w:t>الإ</w:t>
      </w:r>
      <w:r w:rsidRPr="00164A54">
        <w:rPr>
          <w:rFonts w:cs="Traditional Arabic" w:hint="cs"/>
          <w:sz w:val="32"/>
          <w:szCs w:val="32"/>
          <w:rtl/>
        </w:rPr>
        <w:t>سباني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. </w:t>
      </w:r>
    </w:p>
    <w:p w:rsidR="003A5C3B" w:rsidRPr="00164A54" w:rsidRDefault="003A5C3B" w:rsidP="003A5C3B">
      <w:pPr>
        <w:bidi/>
        <w:ind w:firstLine="720"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غير أن هذا التنوع  </w:t>
      </w:r>
      <w:r w:rsidRPr="00164A54">
        <w:rPr>
          <w:rFonts w:cs="Traditional Arabic" w:hint="cs"/>
          <w:sz w:val="32"/>
          <w:szCs w:val="32"/>
          <w:rtl/>
        </w:rPr>
        <w:t>في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نظام العملة المغربية وما طرأ عليها من تغيرات </w:t>
      </w:r>
      <w:r w:rsidRPr="00164A54">
        <w:rPr>
          <w:rFonts w:cs="Traditional Arabic" w:hint="cs"/>
          <w:sz w:val="32"/>
          <w:szCs w:val="32"/>
          <w:rtl/>
        </w:rPr>
        <w:t>في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الشكل والقيمة نتيجة للتغيرات السياسية آنذاك أدى إلى حدوث مشكلات </w:t>
      </w:r>
      <w:r w:rsidRPr="00164A54">
        <w:rPr>
          <w:rFonts w:cs="Traditional Arabic" w:hint="cs"/>
          <w:sz w:val="32"/>
          <w:szCs w:val="32"/>
          <w:rtl/>
        </w:rPr>
        <w:t>اقتصادية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حملت بعض المناطق المغربية على اللجوء إلى التعامل بنظام المقايضة  مثل قطع القماش ، والتبر وقطع الحديد .... </w:t>
      </w:r>
      <w:proofErr w:type="gramStart"/>
      <w:r w:rsidRPr="00164A54">
        <w:rPr>
          <w:rFonts w:cs="Traditional Arabic" w:hint="cs"/>
          <w:sz w:val="32"/>
          <w:szCs w:val="32"/>
          <w:rtl/>
        </w:rPr>
        <w:t>الخ</w:t>
      </w:r>
      <w:proofErr w:type="gramEnd"/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.</w:t>
      </w:r>
    </w:p>
    <w:p w:rsidR="003A5C3B" w:rsidRPr="00164A54" w:rsidRDefault="003A5C3B" w:rsidP="003A5C3B">
      <w:pPr>
        <w:bidi/>
        <w:ind w:firstLine="720"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proofErr w:type="gramStart"/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وقد</w:t>
      </w:r>
      <w:proofErr w:type="gramEnd"/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ساهم ذلك بطبيعة الحال </w:t>
      </w:r>
      <w:r w:rsidRPr="00164A54">
        <w:rPr>
          <w:rFonts w:cs="Traditional Arabic" w:hint="cs"/>
          <w:sz w:val="32"/>
          <w:szCs w:val="32"/>
          <w:rtl/>
        </w:rPr>
        <w:t>في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عدم </w:t>
      </w:r>
      <w:r w:rsidRPr="00164A54">
        <w:rPr>
          <w:rFonts w:cs="Traditional Arabic" w:hint="cs"/>
          <w:sz w:val="32"/>
          <w:szCs w:val="32"/>
          <w:rtl/>
        </w:rPr>
        <w:t>استقرار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النظام </w:t>
      </w:r>
      <w:r w:rsidRPr="00164A54">
        <w:rPr>
          <w:rFonts w:cs="Traditional Arabic" w:hint="cs"/>
          <w:sz w:val="32"/>
          <w:szCs w:val="32"/>
          <w:rtl/>
        </w:rPr>
        <w:t>النقدي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>في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المغرب خلال تلك الفترة</w:t>
      </w:r>
      <w:r w:rsidRPr="00164A54">
        <w:rPr>
          <w:rFonts w:cs="Traditional Arabic" w:hint="cs"/>
          <w:sz w:val="32"/>
          <w:szCs w:val="32"/>
          <w:rtl/>
        </w:rPr>
        <w:t>.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والجدير بالذكر أنه كان لعدم </w:t>
      </w:r>
      <w:r w:rsidRPr="00164A54">
        <w:rPr>
          <w:rFonts w:cs="Traditional Arabic" w:hint="cs"/>
          <w:sz w:val="32"/>
          <w:szCs w:val="32"/>
          <w:rtl/>
        </w:rPr>
        <w:t>الاستقرار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>السياسي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بالمغرب الأقصى لأكثر من نصف قرن خلال فترة موضوع البحث وما استتبع ذلك من تأثر </w:t>
      </w:r>
      <w:r w:rsidRPr="00164A54">
        <w:rPr>
          <w:rFonts w:cs="Traditional Arabic" w:hint="cs"/>
          <w:sz w:val="32"/>
          <w:szCs w:val="32"/>
          <w:rtl/>
        </w:rPr>
        <w:t>الاستقرار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 w:hint="cs"/>
          <w:sz w:val="32"/>
          <w:szCs w:val="32"/>
          <w:rtl/>
        </w:rPr>
        <w:t>الأمني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 مما أدى إلى استخدام شكل آ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خر من أشكال التعامل </w:t>
      </w:r>
      <w:r w:rsidRPr="00164A54">
        <w:rPr>
          <w:rFonts w:cs="Traditional Arabic" w:hint="cs"/>
          <w:sz w:val="32"/>
          <w:szCs w:val="32"/>
          <w:rtl/>
        </w:rPr>
        <w:t>النقدي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تمثل </w:t>
      </w:r>
      <w:r w:rsidRPr="00164A54">
        <w:rPr>
          <w:rFonts w:cs="Traditional Arabic" w:hint="cs"/>
          <w:sz w:val="32"/>
          <w:szCs w:val="32"/>
          <w:rtl/>
        </w:rPr>
        <w:t>في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 xml:space="preserve">: السندات </w:t>
      </w:r>
      <w:proofErr w:type="spellStart"/>
      <w:r>
        <w:rPr>
          <w:rFonts w:ascii="Calibri" w:eastAsia="Times New Roman" w:hAnsi="Calibri" w:cs="Traditional Arabic" w:hint="cs"/>
          <w:sz w:val="32"/>
          <w:szCs w:val="32"/>
          <w:rtl/>
        </w:rPr>
        <w:t>والسفتجات</w:t>
      </w:r>
      <w:proofErr w:type="spellEnd"/>
      <w:r>
        <w:rPr>
          <w:rFonts w:ascii="Calibri" w:eastAsia="Times New Roman" w:hAnsi="Calibri" w:cs="Traditional Arabic" w:hint="cs"/>
          <w:sz w:val="32"/>
          <w:szCs w:val="32"/>
          <w:rtl/>
        </w:rPr>
        <w:t>، الصكوك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.</w:t>
      </w:r>
      <w:r w:rsidRPr="00164A54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ascii="Calibri" w:eastAsia="Times New Roman" w:hAnsi="Calibri" w:cs="Traditional Arabic" w:hint="cs"/>
          <w:sz w:val="32"/>
          <w:szCs w:val="32"/>
          <w:rtl/>
        </w:rPr>
        <w:t>ويعالج البحث المحاور الآتية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:</w:t>
      </w:r>
    </w:p>
    <w:p w:rsidR="003A5C3B" w:rsidRPr="00164A54" w:rsidRDefault="003A5C3B" w:rsidP="003A5C3B">
      <w:pPr>
        <w:bidi/>
        <w:ind w:hanging="18"/>
        <w:jc w:val="both"/>
        <w:rPr>
          <w:rFonts w:ascii="Calibri" w:eastAsia="Times New Roman" w:hAnsi="Calibri" w:cs="Traditional Arabic"/>
          <w:sz w:val="32"/>
          <w:szCs w:val="32"/>
          <w:rtl/>
        </w:rPr>
      </w:pP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أولا</w:t>
      </w:r>
      <w:r w:rsidRPr="00164A54">
        <w:rPr>
          <w:rFonts w:cs="Traditional Arabic" w:hint="cs"/>
          <w:sz w:val="32"/>
          <w:szCs w:val="32"/>
          <w:rtl/>
        </w:rPr>
        <w:t>ً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: العوامل </w:t>
      </w:r>
      <w:r w:rsidRPr="00164A54">
        <w:rPr>
          <w:rFonts w:cs="Traditional Arabic" w:hint="cs"/>
          <w:sz w:val="32"/>
          <w:szCs w:val="32"/>
          <w:rtl/>
        </w:rPr>
        <w:t>التي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أدت إلى تنوع المعاملات النقدية بالمغرب</w:t>
      </w:r>
      <w:r w:rsidRPr="00164A54">
        <w:rPr>
          <w:rFonts w:cs="Traditional Arabic" w:hint="cs"/>
          <w:sz w:val="32"/>
          <w:szCs w:val="32"/>
          <w:rtl/>
        </w:rPr>
        <w:t>.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 </w:t>
      </w:r>
    </w:p>
    <w:p w:rsidR="003A5C3B" w:rsidRPr="00475F4F" w:rsidRDefault="003A5C3B" w:rsidP="003A5C3B">
      <w:pPr>
        <w:bidi/>
        <w:ind w:hanging="18"/>
        <w:jc w:val="both"/>
        <w:rPr>
          <w:rFonts w:cs="Traditional Arabic"/>
          <w:sz w:val="32"/>
          <w:szCs w:val="32"/>
          <w:rtl/>
        </w:rPr>
      </w:pP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ثاني</w:t>
      </w:r>
      <w:r>
        <w:rPr>
          <w:rFonts w:cs="Traditional Arabic" w:hint="cs"/>
          <w:sz w:val="32"/>
          <w:szCs w:val="32"/>
          <w:rtl/>
        </w:rPr>
        <w:t>ًا</w:t>
      </w:r>
      <w:r w:rsidRPr="00164A54">
        <w:rPr>
          <w:rFonts w:cs="Traditional Arabic" w:hint="cs"/>
          <w:sz w:val="32"/>
          <w:szCs w:val="32"/>
          <w:rtl/>
        </w:rPr>
        <w:t>: أنواع المعاملات النقدية.</w:t>
      </w:r>
    </w:p>
    <w:p w:rsidR="003A5C3B" w:rsidRPr="00164A54" w:rsidRDefault="003A5C3B" w:rsidP="003A5C3B">
      <w:pPr>
        <w:bidi/>
        <w:ind w:hanging="18"/>
        <w:jc w:val="both"/>
        <w:rPr>
          <w:rFonts w:cs="Traditional Arabic"/>
          <w:sz w:val="32"/>
          <w:szCs w:val="32"/>
          <w:rtl/>
        </w:rPr>
      </w:pP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ا</w:t>
      </w:r>
      <w:r w:rsidRPr="00164A54">
        <w:rPr>
          <w:rFonts w:cs="Traditional Arabic" w:hint="cs"/>
          <w:sz w:val="32"/>
          <w:szCs w:val="32"/>
          <w:rtl/>
        </w:rPr>
        <w:t xml:space="preserve">لعملات الذهبية </w:t>
      </w:r>
      <w:proofErr w:type="gramStart"/>
      <w:r w:rsidRPr="00164A54">
        <w:rPr>
          <w:rFonts w:cs="Traditional Arabic" w:hint="cs"/>
          <w:sz w:val="32"/>
          <w:szCs w:val="32"/>
          <w:rtl/>
        </w:rPr>
        <w:t>-  العملات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الفضية - 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 xml:space="preserve">العملة النحاسية </w:t>
      </w:r>
      <w:r w:rsidRPr="00164A54">
        <w:rPr>
          <w:rFonts w:cs="Traditional Arabic" w:hint="cs"/>
          <w:sz w:val="32"/>
          <w:szCs w:val="32"/>
          <w:rtl/>
        </w:rPr>
        <w:t xml:space="preserve">- العملة الحديدية - نظام المقايضة - </w:t>
      </w:r>
      <w:r w:rsidRPr="00164A54">
        <w:rPr>
          <w:rFonts w:ascii="Calibri" w:eastAsia="Times New Roman" w:hAnsi="Calibri" w:cs="Traditional Arabic" w:hint="cs"/>
          <w:sz w:val="32"/>
          <w:szCs w:val="32"/>
          <w:rtl/>
        </w:rPr>
        <w:t>استخدام معاملات نقدية أخرى</w:t>
      </w:r>
      <w:r w:rsidRPr="00164A54">
        <w:rPr>
          <w:rFonts w:cs="Traditional Arabic" w:hint="cs"/>
          <w:sz w:val="32"/>
          <w:szCs w:val="32"/>
          <w:rtl/>
        </w:rPr>
        <w:t>.</w:t>
      </w:r>
    </w:p>
    <w:p w:rsidR="003A5C3B" w:rsidRPr="00164A54" w:rsidRDefault="003A5C3B" w:rsidP="003A5C3B">
      <w:pPr>
        <w:bidi/>
        <w:ind w:hanging="18"/>
        <w:jc w:val="center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lastRenderedPageBreak/>
        <w:t>------------------------------</w:t>
      </w:r>
    </w:p>
    <w:p w:rsidR="003A5C3B" w:rsidRPr="00164A54" w:rsidRDefault="003A5C3B" w:rsidP="003A5C3B">
      <w:pPr>
        <w:bidi/>
        <w:rPr>
          <w:rFonts w:cs="Traditional Arabic"/>
          <w:sz w:val="32"/>
          <w:szCs w:val="32"/>
          <w:rtl/>
        </w:rPr>
      </w:pP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5C3B"/>
    <w:rsid w:val="001101A0"/>
    <w:rsid w:val="003A5C3B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C3B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>Bibliotheca Alexandrina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2009-02-23T13:55:00Z</dcterms:created>
  <dcterms:modified xsi:type="dcterms:W3CDTF">2009-02-23T13:55:00Z</dcterms:modified>
</cp:coreProperties>
</file>