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3C9" w:rsidRPr="00164A54" w:rsidRDefault="003043C9" w:rsidP="003043C9">
      <w:pPr>
        <w:tabs>
          <w:tab w:val="left" w:pos="1747"/>
        </w:tabs>
        <w:bidi/>
        <w:rPr>
          <w:rFonts w:cs="Traditional Arabic"/>
          <w:b/>
          <w:bCs/>
          <w:sz w:val="32"/>
          <w:szCs w:val="32"/>
          <w:rtl/>
          <w:lang w:bidi="ar-EG"/>
        </w:rPr>
      </w:pPr>
      <w:r w:rsidRPr="00164A54">
        <w:rPr>
          <w:rFonts w:cs="Traditional Arabic" w:hint="cs"/>
          <w:b/>
          <w:bCs/>
          <w:sz w:val="32"/>
          <w:szCs w:val="32"/>
          <w:rtl/>
          <w:lang w:bidi="ar-EG"/>
        </w:rPr>
        <w:t xml:space="preserve">شادية الدسوقي </w:t>
      </w:r>
    </w:p>
    <w:p w:rsidR="003043C9" w:rsidRPr="00164A54" w:rsidRDefault="003043C9" w:rsidP="003043C9">
      <w:pPr>
        <w:tabs>
          <w:tab w:val="left" w:pos="1747"/>
        </w:tabs>
        <w:bidi/>
        <w:rPr>
          <w:rFonts w:cs="Traditional Arabic"/>
          <w:sz w:val="32"/>
          <w:szCs w:val="32"/>
          <w:rtl/>
          <w:lang w:bidi="ar-EG"/>
        </w:rPr>
      </w:pPr>
      <w:r w:rsidRPr="00164A54">
        <w:rPr>
          <w:rFonts w:cs="Traditional Arabic" w:hint="cs"/>
          <w:sz w:val="32"/>
          <w:szCs w:val="32"/>
          <w:rtl/>
          <w:lang w:bidi="ar-EG"/>
        </w:rPr>
        <w:t xml:space="preserve">كلية الآثار </w:t>
      </w:r>
      <w:r w:rsidRPr="00164A54">
        <w:rPr>
          <w:rFonts w:cs="Traditional Arabic"/>
          <w:sz w:val="32"/>
          <w:szCs w:val="32"/>
          <w:rtl/>
          <w:lang w:bidi="ar-EG"/>
        </w:rPr>
        <w:t>–</w:t>
      </w:r>
      <w:r w:rsidRPr="00164A54">
        <w:rPr>
          <w:rFonts w:cs="Traditional Arabic" w:hint="cs"/>
          <w:sz w:val="32"/>
          <w:szCs w:val="32"/>
          <w:rtl/>
          <w:lang w:bidi="ar-EG"/>
        </w:rPr>
        <w:t xml:space="preserve"> جامعة القاهرة</w:t>
      </w:r>
    </w:p>
    <w:p w:rsidR="003043C9" w:rsidRPr="00164A54" w:rsidRDefault="003043C9" w:rsidP="003043C9">
      <w:pPr>
        <w:tabs>
          <w:tab w:val="left" w:pos="1747"/>
        </w:tabs>
        <w:bidi/>
        <w:rPr>
          <w:rFonts w:cs="Traditional Arabic"/>
          <w:sz w:val="32"/>
          <w:szCs w:val="32"/>
          <w:rtl/>
          <w:lang w:bidi="ar-EG"/>
        </w:rPr>
      </w:pPr>
    </w:p>
    <w:p w:rsidR="003043C9" w:rsidRPr="00164A54" w:rsidRDefault="003043C9" w:rsidP="003043C9">
      <w:pPr>
        <w:tabs>
          <w:tab w:val="left" w:pos="1747"/>
        </w:tabs>
        <w:bidi/>
        <w:jc w:val="center"/>
        <w:rPr>
          <w:rFonts w:cs="Traditional Arabic"/>
          <w:b/>
          <w:bCs/>
          <w:sz w:val="32"/>
          <w:szCs w:val="32"/>
          <w:rtl/>
          <w:lang w:bidi="ar-EG"/>
        </w:rPr>
      </w:pPr>
      <w:r w:rsidRPr="00164A54">
        <w:rPr>
          <w:rFonts w:cs="Traditional Arabic" w:hint="cs"/>
          <w:b/>
          <w:bCs/>
          <w:sz w:val="32"/>
          <w:szCs w:val="32"/>
          <w:rtl/>
          <w:lang w:bidi="ar-EG"/>
        </w:rPr>
        <w:t>الفلوس النحاسية الإيرانية في ضوء مجموعة متحف الفجيرة</w:t>
      </w:r>
    </w:p>
    <w:p w:rsidR="003043C9" w:rsidRPr="00164A54" w:rsidRDefault="003043C9" w:rsidP="003043C9">
      <w:pPr>
        <w:tabs>
          <w:tab w:val="left" w:pos="522"/>
        </w:tabs>
        <w:bidi/>
        <w:jc w:val="both"/>
        <w:rPr>
          <w:rFonts w:cs="Traditional Arabic"/>
          <w:sz w:val="32"/>
          <w:szCs w:val="32"/>
          <w:rtl/>
          <w:lang w:bidi="ar-EG"/>
        </w:rPr>
      </w:pPr>
      <w:r w:rsidRPr="00164A54">
        <w:rPr>
          <w:rFonts w:cs="Traditional Arabic" w:hint="cs"/>
          <w:sz w:val="32"/>
          <w:szCs w:val="32"/>
          <w:rtl/>
          <w:lang w:bidi="ar-EG"/>
        </w:rPr>
        <w:tab/>
        <w:t>تضم هذه المجموعة أربع</w:t>
      </w:r>
      <w:r>
        <w:rPr>
          <w:rFonts w:cs="Traditional Arabic" w:hint="cs"/>
          <w:sz w:val="32"/>
          <w:szCs w:val="32"/>
          <w:rtl/>
          <w:lang w:bidi="ar-EG"/>
        </w:rPr>
        <w:t>ة عشر</w:t>
      </w:r>
      <w:r w:rsidRPr="00164A54">
        <w:rPr>
          <w:rFonts w:cs="Traditional Arabic" w:hint="cs"/>
          <w:sz w:val="32"/>
          <w:szCs w:val="32"/>
          <w:rtl/>
          <w:lang w:bidi="ar-EG"/>
        </w:rPr>
        <w:t xml:space="preserve"> فلساً ، وهي عبارة عن كنز من العملات النحاسية تم ا</w:t>
      </w:r>
      <w:r>
        <w:rPr>
          <w:rFonts w:cs="Traditional Arabic" w:hint="cs"/>
          <w:sz w:val="32"/>
          <w:szCs w:val="32"/>
          <w:rtl/>
          <w:lang w:bidi="ar-EG"/>
        </w:rPr>
        <w:t>لعثور عليها داخل جرة فخارية في إ</w:t>
      </w:r>
      <w:r w:rsidRPr="00164A54">
        <w:rPr>
          <w:rFonts w:cs="Traditional Arabic" w:hint="cs"/>
          <w:sz w:val="32"/>
          <w:szCs w:val="32"/>
          <w:rtl/>
          <w:lang w:bidi="ar-EG"/>
        </w:rPr>
        <w:t>حد</w:t>
      </w:r>
      <w:r>
        <w:rPr>
          <w:rFonts w:cs="Traditional Arabic" w:hint="cs"/>
          <w:sz w:val="32"/>
          <w:szCs w:val="32"/>
          <w:rtl/>
          <w:lang w:bidi="ar-EG"/>
        </w:rPr>
        <w:t>ى</w:t>
      </w:r>
      <w:r w:rsidRPr="00164A54">
        <w:rPr>
          <w:rFonts w:cs="Traditional Arabic" w:hint="cs"/>
          <w:sz w:val="32"/>
          <w:szCs w:val="32"/>
          <w:rtl/>
          <w:lang w:bidi="ar-EG"/>
        </w:rPr>
        <w:t xml:space="preserve"> مزارع إمارة الفجيرة بدولة الإمارات العربية المتحدة ومحفوظة الآن بمتحف الفجيرة الوطني وتدرس وتنشر لأول مرة .</w:t>
      </w:r>
    </w:p>
    <w:p w:rsidR="003043C9" w:rsidRPr="00164A54" w:rsidRDefault="003043C9" w:rsidP="003043C9">
      <w:pPr>
        <w:tabs>
          <w:tab w:val="left" w:pos="522"/>
        </w:tabs>
        <w:bidi/>
        <w:jc w:val="both"/>
        <w:rPr>
          <w:rFonts w:cs="Traditional Arabic"/>
          <w:sz w:val="32"/>
          <w:szCs w:val="32"/>
          <w:rtl/>
          <w:lang w:bidi="ar-EG"/>
        </w:rPr>
      </w:pPr>
      <w:r w:rsidRPr="00164A54">
        <w:rPr>
          <w:rFonts w:cs="Traditional Arabic" w:hint="cs"/>
          <w:sz w:val="32"/>
          <w:szCs w:val="32"/>
          <w:rtl/>
          <w:lang w:bidi="ar-EG"/>
        </w:rPr>
        <w:tab/>
        <w:t xml:space="preserve">يلاحظ أن هذه العملات النحاسية كان يتم تداولها على نطاق كبير، وتعتبر </w:t>
      </w:r>
      <w:r>
        <w:rPr>
          <w:rFonts w:cs="Traditional Arabic" w:hint="cs"/>
          <w:sz w:val="32"/>
          <w:szCs w:val="32"/>
          <w:rtl/>
          <w:lang w:bidi="ar-EG"/>
        </w:rPr>
        <w:t>إحدى</w:t>
      </w:r>
      <w:r w:rsidRPr="00164A54">
        <w:rPr>
          <w:rFonts w:cs="Traditional Arabic" w:hint="cs"/>
          <w:sz w:val="32"/>
          <w:szCs w:val="32"/>
          <w:rtl/>
          <w:lang w:bidi="ar-EG"/>
        </w:rPr>
        <w:t xml:space="preserve"> وسائل الدعاية الواسعة الانتشار ، وقد اعتمدت على نقش تكوينات </w:t>
      </w:r>
      <w:proofErr w:type="spellStart"/>
      <w:r w:rsidRPr="00164A54">
        <w:rPr>
          <w:rFonts w:cs="Traditional Arabic" w:hint="cs"/>
          <w:sz w:val="32"/>
          <w:szCs w:val="32"/>
          <w:rtl/>
          <w:lang w:bidi="ar-EG"/>
        </w:rPr>
        <w:t>زخرفية</w:t>
      </w:r>
      <w:proofErr w:type="spellEnd"/>
      <w:r w:rsidRPr="00164A54">
        <w:rPr>
          <w:rFonts w:cs="Traditional Arabic" w:hint="cs"/>
          <w:sz w:val="32"/>
          <w:szCs w:val="32"/>
          <w:rtl/>
          <w:lang w:bidi="ar-EG"/>
        </w:rPr>
        <w:t xml:space="preserve"> تمثل إحياء للعناصر </w:t>
      </w:r>
      <w:proofErr w:type="spellStart"/>
      <w:r w:rsidRPr="00164A54">
        <w:rPr>
          <w:rFonts w:cs="Traditional Arabic" w:hint="cs"/>
          <w:sz w:val="32"/>
          <w:szCs w:val="32"/>
          <w:rtl/>
          <w:lang w:bidi="ar-EG"/>
        </w:rPr>
        <w:t>الزخرفية</w:t>
      </w:r>
      <w:proofErr w:type="spellEnd"/>
      <w:r w:rsidRPr="00164A54">
        <w:rPr>
          <w:rFonts w:cs="Traditional Arabic" w:hint="cs"/>
          <w:sz w:val="32"/>
          <w:szCs w:val="32"/>
          <w:rtl/>
          <w:lang w:bidi="ar-EG"/>
        </w:rPr>
        <w:t xml:space="preserve"> </w:t>
      </w:r>
      <w:proofErr w:type="spellStart"/>
      <w:r w:rsidRPr="00164A54">
        <w:rPr>
          <w:rFonts w:cs="Traditional Arabic" w:hint="cs"/>
          <w:sz w:val="32"/>
          <w:szCs w:val="32"/>
          <w:rtl/>
          <w:lang w:bidi="ar-EG"/>
        </w:rPr>
        <w:t>الساسانية</w:t>
      </w:r>
      <w:proofErr w:type="spellEnd"/>
      <w:r w:rsidRPr="00164A54">
        <w:rPr>
          <w:rFonts w:cs="Traditional Arabic" w:hint="cs"/>
          <w:sz w:val="32"/>
          <w:szCs w:val="32"/>
          <w:rtl/>
          <w:lang w:bidi="ar-EG"/>
        </w:rPr>
        <w:t xml:space="preserve"> الأصلية التي أعطيت لها أولوية على الطابع السياسي للنقود بشكل عام</w:t>
      </w:r>
      <w:r>
        <w:rPr>
          <w:rFonts w:cs="Traditional Arabic" w:hint="cs"/>
          <w:sz w:val="32"/>
          <w:szCs w:val="32"/>
          <w:rtl/>
          <w:lang w:bidi="ar-EG"/>
        </w:rPr>
        <w:t>؛ فلم ت</w:t>
      </w:r>
      <w:r w:rsidRPr="00164A54">
        <w:rPr>
          <w:rFonts w:cs="Traditional Arabic" w:hint="cs"/>
          <w:sz w:val="32"/>
          <w:szCs w:val="32"/>
          <w:rtl/>
          <w:lang w:bidi="ar-EG"/>
        </w:rPr>
        <w:t>سجل أسماء الحكام أو النصوص الكتابية المأثورة على النقود وإنما اكت</w:t>
      </w:r>
      <w:r>
        <w:rPr>
          <w:rFonts w:cs="Traditional Arabic" w:hint="cs"/>
          <w:sz w:val="32"/>
          <w:szCs w:val="32"/>
          <w:rtl/>
          <w:lang w:bidi="ar-EG"/>
        </w:rPr>
        <w:t>فيَ بتسجيل مكان الضرب مثل أصفهان، قم</w:t>
      </w:r>
      <w:r w:rsidRPr="00164A54">
        <w:rPr>
          <w:rFonts w:cs="Traditional Arabic" w:hint="cs"/>
          <w:sz w:val="32"/>
          <w:szCs w:val="32"/>
          <w:rtl/>
          <w:lang w:bidi="ar-EG"/>
        </w:rPr>
        <w:t xml:space="preserve">، شيراز، </w:t>
      </w:r>
      <w:proofErr w:type="spellStart"/>
      <w:r w:rsidRPr="00164A54">
        <w:rPr>
          <w:rFonts w:cs="Traditional Arabic" w:hint="cs"/>
          <w:sz w:val="32"/>
          <w:szCs w:val="32"/>
          <w:rtl/>
          <w:lang w:bidi="ar-EG"/>
        </w:rPr>
        <w:t>هراة</w:t>
      </w:r>
      <w:proofErr w:type="spellEnd"/>
      <w:r w:rsidRPr="00164A54">
        <w:rPr>
          <w:rFonts w:cs="Traditional Arabic" w:hint="cs"/>
          <w:sz w:val="32"/>
          <w:szCs w:val="32"/>
          <w:rtl/>
          <w:lang w:bidi="ar-EG"/>
        </w:rPr>
        <w:t xml:space="preserve">، </w:t>
      </w:r>
      <w:proofErr w:type="spellStart"/>
      <w:r w:rsidRPr="00164A54">
        <w:rPr>
          <w:rFonts w:cs="Traditional Arabic" w:hint="cs"/>
          <w:sz w:val="32"/>
          <w:szCs w:val="32"/>
          <w:rtl/>
          <w:lang w:bidi="ar-EG"/>
        </w:rPr>
        <w:t>نهروان</w:t>
      </w:r>
      <w:proofErr w:type="spellEnd"/>
      <w:r w:rsidRPr="00164A54">
        <w:rPr>
          <w:rFonts w:cs="Traditional Arabic" w:hint="cs"/>
          <w:sz w:val="32"/>
          <w:szCs w:val="32"/>
          <w:rtl/>
          <w:lang w:bidi="ar-EG"/>
        </w:rPr>
        <w:t xml:space="preserve">، مشهد، وأحيانًا </w:t>
      </w:r>
      <w:r>
        <w:rPr>
          <w:rFonts w:cs="Traditional Arabic" w:hint="cs"/>
          <w:sz w:val="32"/>
          <w:szCs w:val="32"/>
          <w:rtl/>
          <w:lang w:bidi="ar-EG"/>
        </w:rPr>
        <w:t>يسجل تاريخ السك على أحد الوجهين</w:t>
      </w:r>
      <w:r w:rsidRPr="00164A54">
        <w:rPr>
          <w:rFonts w:cs="Traditional Arabic" w:hint="cs"/>
          <w:sz w:val="32"/>
          <w:szCs w:val="32"/>
          <w:rtl/>
          <w:lang w:bidi="ar-EG"/>
        </w:rPr>
        <w:t xml:space="preserve">، بينما شغل الوجه الآخر دائماً برسم زخرفي من العناصر التي كانت شائعة في الفن </w:t>
      </w:r>
      <w:proofErr w:type="spellStart"/>
      <w:r w:rsidRPr="00164A54">
        <w:rPr>
          <w:rFonts w:cs="Traditional Arabic" w:hint="cs"/>
          <w:sz w:val="32"/>
          <w:szCs w:val="32"/>
          <w:rtl/>
          <w:lang w:bidi="ar-EG"/>
        </w:rPr>
        <w:t>الساساني</w:t>
      </w:r>
      <w:proofErr w:type="spellEnd"/>
      <w:r w:rsidRPr="00164A54">
        <w:rPr>
          <w:rFonts w:cs="Traditional Arabic" w:hint="cs"/>
          <w:sz w:val="32"/>
          <w:szCs w:val="32"/>
          <w:rtl/>
          <w:lang w:bidi="ar-EG"/>
        </w:rPr>
        <w:t xml:space="preserve"> مثل طرد وحش (الافتراس)، وشجرة الحياة، وحبيبات اللؤلؤ، والطائر الذي بفمه ورقة نباتية، وأشكال الطيور كالطاووس، والحيوانات كالجمل والحصان، بشكل محور أو قريب عن الطبيعة وغير ذلك من العناصر </w:t>
      </w:r>
      <w:proofErr w:type="spellStart"/>
      <w:r w:rsidRPr="00164A54">
        <w:rPr>
          <w:rFonts w:cs="Traditional Arabic" w:hint="cs"/>
          <w:sz w:val="32"/>
          <w:szCs w:val="32"/>
          <w:rtl/>
          <w:lang w:bidi="ar-EG"/>
        </w:rPr>
        <w:t>الزخرفية</w:t>
      </w:r>
      <w:proofErr w:type="spellEnd"/>
      <w:r w:rsidRPr="00164A54">
        <w:rPr>
          <w:rFonts w:cs="Traditional Arabic" w:hint="cs"/>
          <w:sz w:val="32"/>
          <w:szCs w:val="32"/>
          <w:rtl/>
          <w:lang w:bidi="ar-EG"/>
        </w:rPr>
        <w:t xml:space="preserve"> </w:t>
      </w:r>
      <w:proofErr w:type="spellStart"/>
      <w:r w:rsidRPr="00164A54">
        <w:rPr>
          <w:rFonts w:cs="Traditional Arabic" w:hint="cs"/>
          <w:sz w:val="32"/>
          <w:szCs w:val="32"/>
          <w:rtl/>
          <w:lang w:bidi="ar-EG"/>
        </w:rPr>
        <w:t>الساسانية</w:t>
      </w:r>
      <w:proofErr w:type="spellEnd"/>
      <w:r w:rsidRPr="00164A54">
        <w:rPr>
          <w:rFonts w:cs="Traditional Arabic" w:hint="cs"/>
          <w:sz w:val="32"/>
          <w:szCs w:val="32"/>
          <w:rtl/>
          <w:lang w:bidi="ar-EG"/>
        </w:rPr>
        <w:t xml:space="preserve"> .</w:t>
      </w:r>
    </w:p>
    <w:p w:rsidR="001101A0" w:rsidRDefault="003043C9" w:rsidP="003043C9">
      <w:pPr>
        <w:jc w:val="center"/>
      </w:pPr>
      <w:r w:rsidRPr="00164A54">
        <w:rPr>
          <w:rFonts w:cs="Traditional Arabic" w:hint="cs"/>
          <w:sz w:val="32"/>
          <w:szCs w:val="32"/>
          <w:rtl/>
          <w:lang w:bidi="ar-EG"/>
        </w:rPr>
        <w:t>---------------------------</w:t>
      </w:r>
    </w:p>
    <w:sectPr w:rsidR="001101A0" w:rsidSect="001101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43C9"/>
    <w:rsid w:val="001101A0"/>
    <w:rsid w:val="003043C9"/>
    <w:rsid w:val="00686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192" w:lineRule="exact"/>
        <w:ind w:left="158" w:hanging="1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3C9"/>
    <w:pPr>
      <w:spacing w:before="0" w:beforeAutospacing="0" w:after="200" w:afterAutospacing="0" w:line="276" w:lineRule="auto"/>
      <w:ind w:left="0" w:firstLine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>Bibliotheca Alexandrina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INSTALLATION</dc:creator>
  <cp:keywords/>
  <dc:description/>
  <cp:lastModifiedBy>INSTALLATION</cp:lastModifiedBy>
  <cp:revision>1</cp:revision>
  <dcterms:created xsi:type="dcterms:W3CDTF">2009-02-23T14:04:00Z</dcterms:created>
  <dcterms:modified xsi:type="dcterms:W3CDTF">2009-02-23T14:04:00Z</dcterms:modified>
</cp:coreProperties>
</file>