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750" w:rsidRPr="00CF03F0" w:rsidRDefault="007F6750" w:rsidP="007F6750">
      <w:pPr>
        <w:tabs>
          <w:tab w:val="right" w:pos="702"/>
        </w:tabs>
        <w:bidi/>
        <w:rPr>
          <w:rFonts w:ascii="Calibri" w:eastAsia="Times New Roman" w:hAnsi="Calibri" w:cs="Traditional Arabic"/>
          <w:b/>
          <w:bCs/>
          <w:sz w:val="32"/>
          <w:szCs w:val="32"/>
          <w:rtl/>
        </w:rPr>
      </w:pPr>
      <w:r w:rsidRPr="00CF03F0">
        <w:rPr>
          <w:rFonts w:ascii="Calibri" w:eastAsia="Times New Roman" w:hAnsi="Calibri" w:cs="Traditional Arabic" w:hint="cs"/>
          <w:b/>
          <w:bCs/>
          <w:sz w:val="32"/>
          <w:szCs w:val="32"/>
          <w:rtl/>
        </w:rPr>
        <w:t>سحر عبد العزيز سالم</w:t>
      </w:r>
    </w:p>
    <w:p w:rsidR="007F6750" w:rsidRDefault="007F6750" w:rsidP="007F6750">
      <w:pPr>
        <w:tabs>
          <w:tab w:val="right" w:pos="702"/>
        </w:tabs>
        <w:bidi/>
        <w:rPr>
          <w:rFonts w:ascii="Calibri" w:eastAsia="Times New Roman" w:hAnsi="Calibri" w:cs="Traditional Arabic"/>
          <w:sz w:val="32"/>
          <w:szCs w:val="32"/>
          <w:rtl/>
        </w:rPr>
      </w:pPr>
      <w:r>
        <w:rPr>
          <w:rFonts w:ascii="Calibri" w:eastAsia="Times New Roman" w:hAnsi="Calibri" w:cs="Traditional Arabic" w:hint="cs"/>
          <w:sz w:val="32"/>
          <w:szCs w:val="32"/>
          <w:rtl/>
        </w:rPr>
        <w:t xml:space="preserve">كلية الآداب </w:t>
      </w:r>
      <w:r>
        <w:rPr>
          <w:rFonts w:ascii="Calibri" w:eastAsia="Times New Roman" w:hAnsi="Calibri" w:cs="Traditional Arabic"/>
          <w:sz w:val="32"/>
          <w:szCs w:val="32"/>
          <w:rtl/>
        </w:rPr>
        <w:t>–</w:t>
      </w:r>
      <w:r>
        <w:rPr>
          <w:rFonts w:ascii="Calibri" w:eastAsia="Times New Roman" w:hAnsi="Calibri" w:cs="Traditional Arabic" w:hint="cs"/>
          <w:sz w:val="32"/>
          <w:szCs w:val="32"/>
          <w:rtl/>
        </w:rPr>
        <w:t xml:space="preserve"> جامعة الإسكندرية</w:t>
      </w:r>
    </w:p>
    <w:p w:rsidR="007F6750" w:rsidRDefault="007F6750" w:rsidP="007F6750">
      <w:pPr>
        <w:tabs>
          <w:tab w:val="right" w:pos="702"/>
        </w:tabs>
        <w:bidi/>
        <w:jc w:val="center"/>
        <w:rPr>
          <w:rFonts w:ascii="Calibri" w:eastAsia="Times New Roman" w:hAnsi="Calibri" w:cs="Traditional Arabic"/>
          <w:b/>
          <w:bCs/>
          <w:sz w:val="32"/>
          <w:szCs w:val="32"/>
          <w:rtl/>
        </w:rPr>
      </w:pPr>
    </w:p>
    <w:p w:rsidR="007F6750" w:rsidRPr="00013765" w:rsidRDefault="007F6750" w:rsidP="007F6750">
      <w:pPr>
        <w:tabs>
          <w:tab w:val="right" w:pos="702"/>
        </w:tabs>
        <w:bidi/>
        <w:jc w:val="center"/>
        <w:rPr>
          <w:rFonts w:ascii="Calibri" w:eastAsia="Times New Roman" w:hAnsi="Calibri" w:cs="Traditional Arabic"/>
          <w:b/>
          <w:bCs/>
          <w:sz w:val="32"/>
          <w:szCs w:val="32"/>
          <w:rtl/>
        </w:rPr>
      </w:pPr>
      <w:r w:rsidRPr="00013765">
        <w:rPr>
          <w:rFonts w:ascii="Calibri" w:eastAsia="Times New Roman" w:hAnsi="Calibri" w:cs="Traditional Arabic" w:hint="cs"/>
          <w:b/>
          <w:bCs/>
          <w:sz w:val="32"/>
          <w:szCs w:val="32"/>
          <w:rtl/>
        </w:rPr>
        <w:t>استخدام الإشارات الخاصة بالعملة في كتاب الخراج ليحيى بن آدم القرشي مصدرًا لتاريخ صدر الإسلام</w:t>
      </w:r>
    </w:p>
    <w:p w:rsidR="007F6750" w:rsidRDefault="007F6750" w:rsidP="007F6750">
      <w:pPr>
        <w:tabs>
          <w:tab w:val="right" w:pos="702"/>
        </w:tabs>
        <w:bidi/>
        <w:jc w:val="center"/>
        <w:rPr>
          <w:rFonts w:ascii="Calibri" w:eastAsia="Times New Roman" w:hAnsi="Calibri" w:cs="Traditional Arabic"/>
          <w:b/>
          <w:bCs/>
          <w:sz w:val="32"/>
          <w:szCs w:val="32"/>
        </w:rPr>
      </w:pPr>
      <w:r w:rsidRPr="00013765">
        <w:rPr>
          <w:rFonts w:ascii="Calibri" w:eastAsia="Times New Roman" w:hAnsi="Calibri" w:cs="Traditional Arabic" w:hint="cs"/>
          <w:b/>
          <w:bCs/>
          <w:sz w:val="32"/>
          <w:szCs w:val="32"/>
          <w:rtl/>
        </w:rPr>
        <w:t>(عصر النبوة والخلفاء الراشدين)</w:t>
      </w:r>
    </w:p>
    <w:p w:rsidR="007F6750" w:rsidRDefault="007F6750" w:rsidP="007F6750">
      <w:pPr>
        <w:tabs>
          <w:tab w:val="right" w:pos="702"/>
        </w:tabs>
        <w:bidi/>
        <w:jc w:val="center"/>
        <w:rPr>
          <w:rFonts w:ascii="Calibri" w:eastAsia="Times New Roman" w:hAnsi="Calibri" w:cs="Traditional Arabic"/>
          <w:b/>
          <w:bCs/>
          <w:sz w:val="32"/>
          <w:szCs w:val="32"/>
        </w:rPr>
      </w:pPr>
    </w:p>
    <w:p w:rsidR="007F6750" w:rsidRPr="003F54E2" w:rsidRDefault="007F6750" w:rsidP="007F6750">
      <w:pPr>
        <w:tabs>
          <w:tab w:val="right" w:pos="702"/>
        </w:tabs>
        <w:bidi/>
        <w:jc w:val="both"/>
        <w:rPr>
          <w:rFonts w:ascii="Calibri" w:eastAsia="Times New Roman" w:hAnsi="Calibri" w:cs="Traditional Arabic"/>
          <w:sz w:val="32"/>
          <w:szCs w:val="32"/>
          <w:rtl/>
        </w:rPr>
      </w:pPr>
      <w:r>
        <w:rPr>
          <w:rFonts w:ascii="Calibri" w:eastAsia="Times New Roman" w:hAnsi="Calibri" w:cs="Traditional Arabic" w:hint="cs"/>
          <w:sz w:val="32"/>
          <w:szCs w:val="32"/>
          <w:rtl/>
        </w:rPr>
        <w:tab/>
      </w:r>
      <w:r>
        <w:rPr>
          <w:rFonts w:ascii="Calibri" w:eastAsia="Times New Roman" w:hAnsi="Calibri" w:cs="Traditional Arabic" w:hint="cs"/>
          <w:sz w:val="32"/>
          <w:szCs w:val="32"/>
          <w:rtl/>
        </w:rPr>
        <w:tab/>
      </w:r>
      <w:r w:rsidRPr="003F54E2">
        <w:rPr>
          <w:rFonts w:ascii="Calibri" w:eastAsia="Times New Roman" w:hAnsi="Calibri" w:cs="Traditional Arabic" w:hint="cs"/>
          <w:sz w:val="32"/>
          <w:szCs w:val="32"/>
          <w:rtl/>
        </w:rPr>
        <w:t xml:space="preserve">تعد دراسة الخراج والجزية والأموال والعملة من أهم الموضوعات التي تتعلق بالجوانب الاقتصادية من تاريخ الحضارة الإسلامية، والتي يراها الكثيرون الدافع الرئيسي لكل من الحراك الاجتماعي والسياسي، ويعد كتاب الخراج ليحيى بن آدم القرشي موضوع هذه الدراسة من أبرز المصادر التي تناولت الموضوعات، والتي أشارت إلى أنواع العملات التي استخدمها المسلمون سواء من دراهم فضية </w:t>
      </w:r>
      <w:proofErr w:type="spellStart"/>
      <w:r w:rsidRPr="003F54E2">
        <w:rPr>
          <w:rFonts w:ascii="Calibri" w:eastAsia="Times New Roman" w:hAnsi="Calibri" w:cs="Traditional Arabic" w:hint="cs"/>
          <w:sz w:val="32"/>
          <w:szCs w:val="32"/>
          <w:rtl/>
        </w:rPr>
        <w:t>ساسانية</w:t>
      </w:r>
      <w:proofErr w:type="spellEnd"/>
      <w:r w:rsidRPr="003F54E2">
        <w:rPr>
          <w:rFonts w:ascii="Calibri" w:eastAsia="Times New Roman" w:hAnsi="Calibri" w:cs="Traditional Arabic" w:hint="cs"/>
          <w:sz w:val="32"/>
          <w:szCs w:val="32"/>
          <w:rtl/>
        </w:rPr>
        <w:t xml:space="preserve"> أو دنانير ذهبية بيزنطية بدءًا من عهد الرسول (ص). </w:t>
      </w:r>
      <w:proofErr w:type="gramStart"/>
      <w:r w:rsidRPr="003F54E2">
        <w:rPr>
          <w:rFonts w:ascii="Calibri" w:eastAsia="Times New Roman" w:hAnsi="Calibri" w:cs="Traditional Arabic" w:hint="cs"/>
          <w:sz w:val="32"/>
          <w:szCs w:val="32"/>
          <w:rtl/>
        </w:rPr>
        <w:t>وقدم</w:t>
      </w:r>
      <w:proofErr w:type="gramEnd"/>
      <w:r w:rsidRPr="003F54E2">
        <w:rPr>
          <w:rFonts w:ascii="Calibri" w:eastAsia="Times New Roman" w:hAnsi="Calibri" w:cs="Traditional Arabic" w:hint="cs"/>
          <w:sz w:val="32"/>
          <w:szCs w:val="32"/>
          <w:rtl/>
        </w:rPr>
        <w:t xml:space="preserve"> ابن آدم إشارات وأخبار</w:t>
      </w:r>
      <w:r>
        <w:rPr>
          <w:rFonts w:ascii="Calibri" w:eastAsia="Times New Roman" w:hAnsi="Calibri" w:cs="Traditional Arabic" w:hint="cs"/>
          <w:sz w:val="32"/>
          <w:szCs w:val="32"/>
          <w:rtl/>
        </w:rPr>
        <w:t>ًا</w:t>
      </w:r>
      <w:r w:rsidRPr="003F54E2">
        <w:rPr>
          <w:rFonts w:ascii="Calibri" w:eastAsia="Times New Roman" w:hAnsi="Calibri" w:cs="Traditional Arabic" w:hint="cs"/>
          <w:sz w:val="32"/>
          <w:szCs w:val="32"/>
          <w:rtl/>
        </w:rPr>
        <w:t xml:space="preserve"> تاريخية غاية في الأهمية خلال حديثه عن العملات في بدايات التاريخ الإسلامي وأن</w:t>
      </w:r>
      <w:r>
        <w:rPr>
          <w:rFonts w:ascii="Calibri" w:eastAsia="Times New Roman" w:hAnsi="Calibri" w:cs="Traditional Arabic" w:hint="cs"/>
          <w:sz w:val="32"/>
          <w:szCs w:val="32"/>
          <w:rtl/>
        </w:rPr>
        <w:t>ها</w:t>
      </w:r>
      <w:r w:rsidRPr="003F54E2">
        <w:rPr>
          <w:rFonts w:ascii="Calibri" w:eastAsia="Times New Roman" w:hAnsi="Calibri" w:cs="Traditional Arabic" w:hint="cs"/>
          <w:sz w:val="32"/>
          <w:szCs w:val="32"/>
          <w:rtl/>
        </w:rPr>
        <w:t xml:space="preserve"> كانت في مجملها قليلة ونادرة. </w:t>
      </w:r>
      <w:proofErr w:type="gramStart"/>
      <w:r w:rsidRPr="003F54E2">
        <w:rPr>
          <w:rFonts w:ascii="Calibri" w:eastAsia="Times New Roman" w:hAnsi="Calibri" w:cs="Traditional Arabic" w:hint="cs"/>
          <w:sz w:val="32"/>
          <w:szCs w:val="32"/>
          <w:rtl/>
        </w:rPr>
        <w:t>وقد</w:t>
      </w:r>
      <w:proofErr w:type="gramEnd"/>
      <w:r>
        <w:rPr>
          <w:rFonts w:ascii="Calibri" w:eastAsia="Times New Roman" w:hAnsi="Calibri" w:cs="Traditional Arabic" w:hint="cs"/>
          <w:sz w:val="32"/>
          <w:szCs w:val="32"/>
          <w:rtl/>
        </w:rPr>
        <w:t xml:space="preserve"> بدأ يحيى </w:t>
      </w:r>
      <w:r w:rsidRPr="003F54E2">
        <w:rPr>
          <w:rFonts w:ascii="Calibri" w:eastAsia="Times New Roman" w:hAnsi="Calibri" w:cs="Traditional Arabic" w:hint="cs"/>
          <w:sz w:val="32"/>
          <w:szCs w:val="32"/>
          <w:rtl/>
        </w:rPr>
        <w:t xml:space="preserve">بن آدم حديثه بالإشارة عن الخراج ومفهومه وعن الأرض العشرية، ثم انتقل إلى الحديث عن المعدن قبل حديثه عن النقد والعملة. وأورد ذكر العملات المستخدمة زمن النبي من خلال نص حديث عنه (ص) غاية في الأهمية عن العملة المستخدمة كجزية في بلاد اليمن في عصر النبوة والتي حددها يحيى القرشي بالدينار الواحد، وذلك من خلال ما كتب </w:t>
      </w:r>
      <w:proofErr w:type="spellStart"/>
      <w:r w:rsidRPr="003F54E2">
        <w:rPr>
          <w:rFonts w:ascii="Calibri" w:eastAsia="Times New Roman" w:hAnsi="Calibri" w:cs="Traditional Arabic" w:hint="cs"/>
          <w:sz w:val="32"/>
          <w:szCs w:val="32"/>
          <w:rtl/>
        </w:rPr>
        <w:t>به</w:t>
      </w:r>
      <w:proofErr w:type="spellEnd"/>
      <w:r w:rsidRPr="003F54E2">
        <w:rPr>
          <w:rFonts w:ascii="Calibri" w:eastAsia="Times New Roman" w:hAnsi="Calibri" w:cs="Traditional Arabic" w:hint="cs"/>
          <w:sz w:val="32"/>
          <w:szCs w:val="32"/>
          <w:rtl/>
        </w:rPr>
        <w:t xml:space="preserve"> الرسول إلى معاذ بن جبل باليمن، وأمره بألا يفتتن يهوديًا عن يهوديته، كما يشير النص إلى قبول النبي الجزية من المجوس أيضًا. </w:t>
      </w:r>
      <w:proofErr w:type="gramStart"/>
      <w:r w:rsidRPr="003F54E2">
        <w:rPr>
          <w:rFonts w:ascii="Calibri" w:eastAsia="Times New Roman" w:hAnsi="Calibri" w:cs="Traditional Arabic" w:hint="cs"/>
          <w:sz w:val="32"/>
          <w:szCs w:val="32"/>
          <w:rtl/>
        </w:rPr>
        <w:t>وقد</w:t>
      </w:r>
      <w:proofErr w:type="gramEnd"/>
      <w:r w:rsidRPr="003F54E2">
        <w:rPr>
          <w:rFonts w:ascii="Calibri" w:eastAsia="Times New Roman" w:hAnsi="Calibri" w:cs="Traditional Arabic" w:hint="cs"/>
          <w:sz w:val="32"/>
          <w:szCs w:val="32"/>
          <w:rtl/>
        </w:rPr>
        <w:t xml:space="preserve"> حللنا النص واستنتجنا منه سماحة الإسلام والنبي في التعامل مع أهل الذمة والرفق بهم، وعلى اعتبار النبي </w:t>
      </w:r>
      <w:r>
        <w:rPr>
          <w:rFonts w:ascii="Calibri" w:eastAsia="Times New Roman" w:hAnsi="Calibri" w:cs="Traditional Arabic" w:hint="cs"/>
          <w:sz w:val="32"/>
          <w:szCs w:val="32"/>
          <w:rtl/>
        </w:rPr>
        <w:t xml:space="preserve">أن المجوس </w:t>
      </w:r>
      <w:r w:rsidRPr="003F54E2">
        <w:rPr>
          <w:rFonts w:ascii="Calibri" w:eastAsia="Times New Roman" w:hAnsi="Calibri" w:cs="Traditional Arabic" w:hint="cs"/>
          <w:sz w:val="32"/>
          <w:szCs w:val="32"/>
          <w:rtl/>
        </w:rPr>
        <w:t xml:space="preserve">كأنهم من أهل الكتاب فقبل منهم الجزية. وقد أكد أبو يوسف ذلك أيضًا </w:t>
      </w:r>
      <w:r>
        <w:rPr>
          <w:rFonts w:ascii="Calibri" w:eastAsia="Times New Roman" w:hAnsi="Calibri" w:cs="Traditional Arabic" w:hint="cs"/>
          <w:sz w:val="32"/>
          <w:szCs w:val="32"/>
          <w:rtl/>
        </w:rPr>
        <w:t>في</w:t>
      </w:r>
      <w:r w:rsidRPr="003F54E2">
        <w:rPr>
          <w:rFonts w:ascii="Calibri" w:eastAsia="Times New Roman" w:hAnsi="Calibri" w:cs="Traditional Arabic" w:hint="cs"/>
          <w:sz w:val="32"/>
          <w:szCs w:val="32"/>
          <w:rtl/>
        </w:rPr>
        <w:t xml:space="preserve"> كتابه "الخراج" كما أثار هذا النص قضية أثرية جديرة بالمناقشة حول سبب استخدام اليمن للدينار البيزنطي كعملة رغم خضوعها للنفوذ </w:t>
      </w:r>
      <w:r w:rsidRPr="003F54E2">
        <w:rPr>
          <w:rFonts w:ascii="Calibri" w:eastAsia="Times New Roman" w:hAnsi="Calibri" w:cs="Traditional Arabic" w:hint="cs"/>
          <w:sz w:val="32"/>
          <w:szCs w:val="32"/>
          <w:rtl/>
        </w:rPr>
        <w:lastRenderedPageBreak/>
        <w:t xml:space="preserve">الفارسي قبل الإسلام، ورغم ما شاع بين بعض الأثريين </w:t>
      </w:r>
      <w:r>
        <w:rPr>
          <w:rFonts w:ascii="Calibri" w:eastAsia="Times New Roman" w:hAnsi="Calibri" w:cs="Traditional Arabic" w:hint="cs"/>
          <w:sz w:val="32"/>
          <w:szCs w:val="32"/>
          <w:rtl/>
        </w:rPr>
        <w:t>المحدثين</w:t>
      </w:r>
      <w:r w:rsidRPr="003F54E2">
        <w:rPr>
          <w:rFonts w:ascii="Calibri" w:eastAsia="Times New Roman" w:hAnsi="Calibri" w:cs="Traditional Arabic" w:hint="cs"/>
          <w:sz w:val="32"/>
          <w:szCs w:val="32"/>
          <w:rtl/>
        </w:rPr>
        <w:t xml:space="preserve"> بأن أسواق مكة والحجاز قد تعاملت قبيل الإسلام بالنقود البيزنطية </w:t>
      </w:r>
      <w:proofErr w:type="spellStart"/>
      <w:r w:rsidRPr="003F54E2">
        <w:rPr>
          <w:rFonts w:ascii="Calibri" w:eastAsia="Times New Roman" w:hAnsi="Calibri" w:cs="Traditional Arabic" w:hint="cs"/>
          <w:sz w:val="32"/>
          <w:szCs w:val="32"/>
          <w:rtl/>
        </w:rPr>
        <w:t>والساسانية</w:t>
      </w:r>
      <w:proofErr w:type="spellEnd"/>
      <w:r w:rsidRPr="003F54E2">
        <w:rPr>
          <w:rFonts w:ascii="Calibri" w:eastAsia="Times New Roman" w:hAnsi="Calibri" w:cs="Traditional Arabic" w:hint="cs"/>
          <w:sz w:val="32"/>
          <w:szCs w:val="32"/>
          <w:rtl/>
        </w:rPr>
        <w:t xml:space="preserve"> وكذلك بالنقود اليمنية والحبشية، خاصة وأن اليمن قد تمتعت بعمق تاريخي </w:t>
      </w:r>
      <w:proofErr w:type="spellStart"/>
      <w:r w:rsidRPr="003F54E2">
        <w:rPr>
          <w:rFonts w:ascii="Calibri" w:eastAsia="Times New Roman" w:hAnsi="Calibri" w:cs="Traditional Arabic" w:hint="cs"/>
          <w:sz w:val="32"/>
          <w:szCs w:val="32"/>
          <w:rtl/>
        </w:rPr>
        <w:t>متجذر</w:t>
      </w:r>
      <w:proofErr w:type="spellEnd"/>
      <w:r w:rsidRPr="003F54E2">
        <w:rPr>
          <w:rFonts w:ascii="Calibri" w:eastAsia="Times New Roman" w:hAnsi="Calibri" w:cs="Traditional Arabic" w:hint="cs"/>
          <w:sz w:val="32"/>
          <w:szCs w:val="32"/>
          <w:rtl/>
        </w:rPr>
        <w:t xml:space="preserve"> في مجال سك العملة والنقود الخاصة </w:t>
      </w:r>
      <w:proofErr w:type="spellStart"/>
      <w:r w:rsidRPr="003F54E2">
        <w:rPr>
          <w:rFonts w:ascii="Calibri" w:eastAsia="Times New Roman" w:hAnsi="Calibri" w:cs="Traditional Arabic" w:hint="cs"/>
          <w:sz w:val="32"/>
          <w:szCs w:val="32"/>
          <w:rtl/>
        </w:rPr>
        <w:t>بها</w:t>
      </w:r>
      <w:proofErr w:type="spellEnd"/>
      <w:r w:rsidRPr="003F54E2">
        <w:rPr>
          <w:rFonts w:ascii="Calibri" w:eastAsia="Times New Roman" w:hAnsi="Calibri" w:cs="Traditional Arabic" w:hint="cs"/>
          <w:sz w:val="32"/>
          <w:szCs w:val="32"/>
          <w:rtl/>
        </w:rPr>
        <w:t xml:space="preserve"> منذ عهد مملكتي </w:t>
      </w:r>
      <w:proofErr w:type="spellStart"/>
      <w:r w:rsidRPr="003F54E2">
        <w:rPr>
          <w:rFonts w:ascii="Calibri" w:eastAsia="Times New Roman" w:hAnsi="Calibri" w:cs="Traditional Arabic" w:hint="cs"/>
          <w:sz w:val="32"/>
          <w:szCs w:val="32"/>
          <w:rtl/>
        </w:rPr>
        <w:t>قتبان</w:t>
      </w:r>
      <w:proofErr w:type="spellEnd"/>
      <w:r w:rsidRPr="003F54E2">
        <w:rPr>
          <w:rFonts w:ascii="Calibri" w:eastAsia="Times New Roman" w:hAnsi="Calibri" w:cs="Traditional Arabic" w:hint="cs"/>
          <w:sz w:val="32"/>
          <w:szCs w:val="32"/>
          <w:rtl/>
        </w:rPr>
        <w:t xml:space="preserve"> وسبأ ومذلك كان الحال في مملكة معين وحضرموت. </w:t>
      </w:r>
      <w:proofErr w:type="gramStart"/>
      <w:r w:rsidRPr="003F54E2">
        <w:rPr>
          <w:rFonts w:ascii="Calibri" w:eastAsia="Times New Roman" w:hAnsi="Calibri" w:cs="Traditional Arabic" w:hint="cs"/>
          <w:sz w:val="32"/>
          <w:szCs w:val="32"/>
          <w:rtl/>
        </w:rPr>
        <w:t>وقد</w:t>
      </w:r>
      <w:proofErr w:type="gramEnd"/>
      <w:r w:rsidRPr="003F54E2">
        <w:rPr>
          <w:rFonts w:ascii="Calibri" w:eastAsia="Times New Roman" w:hAnsi="Calibri" w:cs="Traditional Arabic" w:hint="cs"/>
          <w:sz w:val="32"/>
          <w:szCs w:val="32"/>
          <w:rtl/>
        </w:rPr>
        <w:t xml:space="preserve"> ناقشنا هذه القضية مفصلاً وعللنا من وجهة نظرنا أسباب جمع معاذ بن جبل الجزية من أهل اليمن بالدينار دون الدرهم.</w:t>
      </w:r>
    </w:p>
    <w:p w:rsidR="007F6750" w:rsidRDefault="007F6750" w:rsidP="007F6750">
      <w:pPr>
        <w:tabs>
          <w:tab w:val="right" w:pos="702"/>
        </w:tabs>
        <w:bidi/>
        <w:jc w:val="both"/>
        <w:rPr>
          <w:rFonts w:ascii="Calibri" w:eastAsia="Times New Roman" w:hAnsi="Calibri" w:cs="Traditional Arabic"/>
          <w:sz w:val="32"/>
          <w:szCs w:val="32"/>
          <w:rtl/>
        </w:rPr>
      </w:pPr>
      <w:r>
        <w:rPr>
          <w:rFonts w:ascii="Calibri" w:eastAsia="Times New Roman" w:hAnsi="Calibri" w:cs="Traditional Arabic" w:hint="cs"/>
          <w:sz w:val="32"/>
          <w:szCs w:val="32"/>
          <w:rtl/>
        </w:rPr>
        <w:tab/>
      </w:r>
      <w:r>
        <w:rPr>
          <w:rFonts w:ascii="Calibri" w:eastAsia="Times New Roman" w:hAnsi="Calibri" w:cs="Traditional Arabic" w:hint="cs"/>
          <w:sz w:val="32"/>
          <w:szCs w:val="32"/>
          <w:rtl/>
        </w:rPr>
        <w:tab/>
      </w:r>
      <w:r w:rsidRPr="003F54E2">
        <w:rPr>
          <w:rFonts w:ascii="Calibri" w:eastAsia="Times New Roman" w:hAnsi="Calibri" w:cs="Traditional Arabic" w:hint="cs"/>
          <w:sz w:val="32"/>
          <w:szCs w:val="32"/>
          <w:rtl/>
        </w:rPr>
        <w:t xml:space="preserve">وتشير الدراسة أيضًا من خلال إشارات يحيى بن آدم عن العملة إلى عدالة كل من الخليفة عمر بن الخطاب وعلي بن أبي طالب في مجال قسمة الأرض المفتوحة بين المسلمين، كما أكدنا من خلال إشاراته على أن العرب قد ميزوا بين مصطلحي وكلمتي الجزية والخراج بعكس الرأي الذي أخذ </w:t>
      </w:r>
      <w:proofErr w:type="spellStart"/>
      <w:r w:rsidRPr="003F54E2">
        <w:rPr>
          <w:rFonts w:ascii="Calibri" w:eastAsia="Times New Roman" w:hAnsi="Calibri" w:cs="Traditional Arabic" w:hint="cs"/>
          <w:sz w:val="32"/>
          <w:szCs w:val="32"/>
          <w:rtl/>
        </w:rPr>
        <w:t>به</w:t>
      </w:r>
      <w:proofErr w:type="spellEnd"/>
      <w:r w:rsidRPr="003F54E2">
        <w:rPr>
          <w:rFonts w:ascii="Calibri" w:eastAsia="Times New Roman" w:hAnsi="Calibri" w:cs="Traditional Arabic" w:hint="cs"/>
          <w:sz w:val="32"/>
          <w:szCs w:val="32"/>
          <w:rtl/>
        </w:rPr>
        <w:t xml:space="preserve"> بعض المستشرقين الغربيين. واختتمنا الدراسة بالتعرض إلى </w:t>
      </w:r>
      <w:proofErr w:type="spellStart"/>
      <w:r w:rsidRPr="003F54E2">
        <w:rPr>
          <w:rFonts w:ascii="Calibri" w:eastAsia="Times New Roman" w:hAnsi="Calibri" w:cs="Traditional Arabic" w:hint="cs"/>
          <w:sz w:val="32"/>
          <w:szCs w:val="32"/>
          <w:rtl/>
        </w:rPr>
        <w:t>العشور</w:t>
      </w:r>
      <w:proofErr w:type="spellEnd"/>
      <w:r w:rsidRPr="003F54E2">
        <w:rPr>
          <w:rFonts w:ascii="Calibri" w:eastAsia="Times New Roman" w:hAnsi="Calibri" w:cs="Traditional Arabic" w:hint="cs"/>
          <w:sz w:val="32"/>
          <w:szCs w:val="32"/>
          <w:rtl/>
        </w:rPr>
        <w:t xml:space="preserve"> التجارية وقيمتها بالدراهم والدنانير كما ورد في كتاب يحيى </w:t>
      </w:r>
      <w:r>
        <w:rPr>
          <w:rFonts w:ascii="Calibri" w:eastAsia="Times New Roman" w:hAnsi="Calibri" w:cs="Traditional Arabic" w:hint="cs"/>
          <w:sz w:val="32"/>
          <w:szCs w:val="32"/>
          <w:rtl/>
        </w:rPr>
        <w:t>ا</w:t>
      </w:r>
      <w:r w:rsidRPr="003F54E2">
        <w:rPr>
          <w:rFonts w:ascii="Calibri" w:eastAsia="Times New Roman" w:hAnsi="Calibri" w:cs="Traditional Arabic" w:hint="cs"/>
          <w:sz w:val="32"/>
          <w:szCs w:val="32"/>
          <w:rtl/>
        </w:rPr>
        <w:t xml:space="preserve">بن آدم وأكدنا على اتسامها بالعدل والإنصاف بالمقارنة بالضرائب التي كانت تفرض قبل الإسلام في عهد الدولتين البيزنطية </w:t>
      </w:r>
      <w:proofErr w:type="spellStart"/>
      <w:r w:rsidRPr="003F54E2">
        <w:rPr>
          <w:rFonts w:ascii="Calibri" w:eastAsia="Times New Roman" w:hAnsi="Calibri" w:cs="Traditional Arabic" w:hint="cs"/>
          <w:sz w:val="32"/>
          <w:szCs w:val="32"/>
          <w:rtl/>
        </w:rPr>
        <w:t>والساسانية</w:t>
      </w:r>
      <w:proofErr w:type="spellEnd"/>
      <w:r w:rsidRPr="003F54E2">
        <w:rPr>
          <w:rFonts w:ascii="Calibri" w:eastAsia="Times New Roman" w:hAnsi="Calibri" w:cs="Traditional Arabic" w:hint="cs"/>
          <w:sz w:val="32"/>
          <w:szCs w:val="32"/>
          <w:rtl/>
        </w:rPr>
        <w:t>. ومما سبق يتبين أن دراسة ما يتعلق بالعملة والنقد من خلال كتب الخراج إنما يفتح الطريق أمام المؤرخ للتأكيد على حقائق تاريخية قد تكون غابت أو لدحض أفكار قد تكون ثبتت ورسخت برغم خطئها لعدة سنين.</w:t>
      </w:r>
    </w:p>
    <w:p w:rsidR="007F6750" w:rsidRDefault="007F6750" w:rsidP="007F6750">
      <w:pPr>
        <w:tabs>
          <w:tab w:val="right" w:pos="702"/>
        </w:tabs>
        <w:bidi/>
        <w:rPr>
          <w:rFonts w:ascii="Calibri" w:eastAsia="Times New Roman" w:hAnsi="Calibri" w:cs="Traditional Arabic"/>
          <w:sz w:val="32"/>
          <w:szCs w:val="32"/>
          <w:rtl/>
        </w:rPr>
      </w:pPr>
    </w:p>
    <w:p w:rsidR="007F6750" w:rsidRPr="003F54E2" w:rsidRDefault="007F6750" w:rsidP="007F6750">
      <w:pPr>
        <w:tabs>
          <w:tab w:val="right" w:pos="702"/>
        </w:tabs>
        <w:bidi/>
        <w:jc w:val="center"/>
        <w:rPr>
          <w:rFonts w:ascii="Calibri" w:eastAsia="Times New Roman" w:hAnsi="Calibri" w:cs="Traditional Arabic"/>
          <w:sz w:val="32"/>
          <w:szCs w:val="32"/>
        </w:rPr>
      </w:pPr>
      <w:r>
        <w:rPr>
          <w:rFonts w:ascii="Calibri" w:eastAsia="Times New Roman" w:hAnsi="Calibri" w:cs="Traditional Arabic" w:hint="cs"/>
          <w:sz w:val="32"/>
          <w:szCs w:val="32"/>
          <w:rtl/>
        </w:rPr>
        <w:t>-----------------------------</w:t>
      </w:r>
    </w:p>
    <w:p w:rsidR="001101A0" w:rsidRDefault="001101A0"/>
    <w:sectPr w:rsidR="001101A0" w:rsidSect="001101A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F6750"/>
    <w:rsid w:val="001101A0"/>
    <w:rsid w:val="00686264"/>
    <w:rsid w:val="007F675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192" w:lineRule="exact"/>
        <w:ind w:left="158" w:hanging="15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750"/>
    <w:pPr>
      <w:spacing w:before="0" w:beforeAutospacing="0" w:after="200" w:afterAutospacing="0" w:line="276" w:lineRule="auto"/>
      <w:ind w:left="0" w:firstLine="0"/>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2236</Characters>
  <Application>Microsoft Office Word</Application>
  <DocSecurity>0</DocSecurity>
  <Lines>18</Lines>
  <Paragraphs>5</Paragraphs>
  <ScaleCrop>false</ScaleCrop>
  <Company>Bibliotheca Alexandrina</Company>
  <LinksUpToDate>false</LinksUpToDate>
  <CharactersWithSpaces>2623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INSTALLATION</dc:creator>
  <cp:keywords/>
  <dc:description/>
  <cp:lastModifiedBy>INSTALLATION</cp:lastModifiedBy>
  <cp:revision>1</cp:revision>
  <dcterms:created xsi:type="dcterms:W3CDTF">2009-02-23T14:13:00Z</dcterms:created>
  <dcterms:modified xsi:type="dcterms:W3CDTF">2009-02-23T14:13:00Z</dcterms:modified>
</cp:coreProperties>
</file>