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8A5" w:rsidRPr="00164A54" w:rsidRDefault="004178A5" w:rsidP="004178A5">
      <w:pPr>
        <w:bidi/>
        <w:rPr>
          <w:rFonts w:cs="Traditional Arabic"/>
          <w:b/>
          <w:bCs/>
          <w:sz w:val="32"/>
          <w:szCs w:val="32"/>
          <w:rtl/>
        </w:rPr>
      </w:pPr>
      <w:proofErr w:type="gramStart"/>
      <w:r w:rsidRPr="00164A54">
        <w:rPr>
          <w:rFonts w:cs="Traditional Arabic" w:hint="cs"/>
          <w:b/>
          <w:bCs/>
          <w:sz w:val="32"/>
          <w:szCs w:val="32"/>
          <w:rtl/>
        </w:rPr>
        <w:t>خالد</w:t>
      </w:r>
      <w:proofErr w:type="gramEnd"/>
      <w:r w:rsidRPr="00164A54">
        <w:rPr>
          <w:rFonts w:cs="Traditional Arabic" w:hint="cs"/>
          <w:b/>
          <w:bCs/>
          <w:sz w:val="32"/>
          <w:szCs w:val="32"/>
          <w:rtl/>
        </w:rPr>
        <w:t xml:space="preserve"> عمر تدمري</w:t>
      </w:r>
    </w:p>
    <w:p w:rsidR="004178A5" w:rsidRPr="00164A54" w:rsidRDefault="004178A5" w:rsidP="004178A5">
      <w:pPr>
        <w:bidi/>
        <w:rPr>
          <w:rFonts w:cs="Traditional Arabic"/>
          <w:sz w:val="32"/>
          <w:szCs w:val="32"/>
        </w:rPr>
      </w:pPr>
      <w:r w:rsidRPr="00164A54">
        <w:rPr>
          <w:rFonts w:cs="Traditional Arabic" w:hint="cs"/>
          <w:sz w:val="32"/>
          <w:szCs w:val="32"/>
          <w:rtl/>
        </w:rPr>
        <w:t xml:space="preserve">الجامعة اللبنانية </w:t>
      </w:r>
      <w:r w:rsidRPr="00164A54">
        <w:rPr>
          <w:rFonts w:cs="Traditional Arabic"/>
          <w:sz w:val="32"/>
          <w:szCs w:val="32"/>
          <w:rtl/>
        </w:rPr>
        <w:t>–</w:t>
      </w:r>
      <w:r w:rsidRPr="00164A54">
        <w:rPr>
          <w:rFonts w:cs="Traditional Arabic" w:hint="cs"/>
          <w:sz w:val="32"/>
          <w:szCs w:val="32"/>
          <w:rtl/>
        </w:rPr>
        <w:t xml:space="preserve"> طرابلس</w:t>
      </w:r>
    </w:p>
    <w:p w:rsidR="004178A5" w:rsidRPr="00164A54" w:rsidRDefault="004178A5" w:rsidP="004178A5">
      <w:pPr>
        <w:bidi/>
        <w:jc w:val="center"/>
        <w:rPr>
          <w:rFonts w:cs="Traditional Arabic"/>
          <w:b/>
          <w:bCs/>
          <w:sz w:val="32"/>
          <w:szCs w:val="32"/>
          <w:rtl/>
          <w:lang w:bidi="ar-LB"/>
        </w:rPr>
      </w:pPr>
      <w:r w:rsidRPr="00164A54">
        <w:rPr>
          <w:rFonts w:cs="Traditional Arabic" w:hint="cs"/>
          <w:b/>
          <w:bCs/>
          <w:sz w:val="32"/>
          <w:szCs w:val="32"/>
          <w:rtl/>
          <w:lang w:bidi="ar-LB"/>
        </w:rPr>
        <w:t>نقود طرابلس القديمة</w:t>
      </w:r>
    </w:p>
    <w:p w:rsidR="004178A5" w:rsidRPr="00164A54" w:rsidRDefault="004178A5" w:rsidP="004178A5">
      <w:pPr>
        <w:bidi/>
        <w:jc w:val="center"/>
        <w:rPr>
          <w:rFonts w:cs="Traditional Arabic"/>
          <w:b/>
          <w:bCs/>
          <w:sz w:val="32"/>
          <w:szCs w:val="32"/>
          <w:rtl/>
          <w:lang w:bidi="ar-LB"/>
        </w:rPr>
      </w:pPr>
      <w:proofErr w:type="gramStart"/>
      <w:r>
        <w:rPr>
          <w:rFonts w:cs="Traditional Arabic" w:hint="cs"/>
          <w:b/>
          <w:bCs/>
          <w:sz w:val="32"/>
          <w:szCs w:val="32"/>
          <w:rtl/>
          <w:lang w:bidi="ar-LB"/>
        </w:rPr>
        <w:t>الفينيقيّة</w:t>
      </w:r>
      <w:proofErr w:type="gramEnd"/>
      <w:r>
        <w:rPr>
          <w:rFonts w:cs="Traditional Arabic" w:hint="cs"/>
          <w:b/>
          <w:bCs/>
          <w:sz w:val="32"/>
          <w:szCs w:val="32"/>
          <w:rtl/>
          <w:lang w:bidi="ar-LB"/>
        </w:rPr>
        <w:t xml:space="preserve"> و</w:t>
      </w:r>
      <w:r w:rsidRPr="00164A54">
        <w:rPr>
          <w:rFonts w:cs="Traditional Arabic" w:hint="cs"/>
          <w:b/>
          <w:bCs/>
          <w:sz w:val="32"/>
          <w:szCs w:val="32"/>
          <w:rtl/>
          <w:lang w:bidi="ar-LB"/>
        </w:rPr>
        <w:t>الرومانيّة</w:t>
      </w:r>
    </w:p>
    <w:p w:rsidR="004178A5" w:rsidRPr="00164A54" w:rsidRDefault="004178A5" w:rsidP="004178A5">
      <w:pPr>
        <w:bidi/>
        <w:rPr>
          <w:rFonts w:cs="Traditional Arabic"/>
          <w:b/>
          <w:bCs/>
          <w:sz w:val="32"/>
          <w:szCs w:val="32"/>
          <w:rtl/>
          <w:lang w:bidi="ar-LB"/>
        </w:rPr>
      </w:pPr>
    </w:p>
    <w:p w:rsidR="004178A5" w:rsidRPr="00164A54" w:rsidRDefault="004178A5" w:rsidP="004178A5">
      <w:pPr>
        <w:bidi/>
        <w:ind w:firstLine="720"/>
        <w:jc w:val="both"/>
        <w:rPr>
          <w:rFonts w:cs="Traditional Arabic"/>
          <w:sz w:val="32"/>
          <w:szCs w:val="32"/>
          <w:rtl/>
          <w:lang w:bidi="ar-LB"/>
        </w:rPr>
      </w:pPr>
      <w:r w:rsidRPr="00164A54">
        <w:rPr>
          <w:rFonts w:cs="Traditional Arabic" w:hint="cs"/>
          <w:sz w:val="32"/>
          <w:szCs w:val="32"/>
          <w:rtl/>
        </w:rPr>
        <w:t xml:space="preserve">يتناول البحث أنواع النقود الفينيقيّة، والنقود الرومانيّة التي ضُربت في مدينة طرابلس اللبنانيّة، ومنها ما ضُرب في عهد الأسرة </w:t>
      </w:r>
      <w:proofErr w:type="spellStart"/>
      <w:r w:rsidRPr="00164A54">
        <w:rPr>
          <w:rFonts w:cs="Traditional Arabic" w:hint="cs"/>
          <w:sz w:val="32"/>
          <w:szCs w:val="32"/>
          <w:rtl/>
        </w:rPr>
        <w:t>السلوقيّة</w:t>
      </w:r>
      <w:proofErr w:type="spellEnd"/>
      <w:r w:rsidRPr="00164A54">
        <w:rPr>
          <w:rFonts w:cs="Traditional Arabic" w:hint="cs"/>
          <w:sz w:val="32"/>
          <w:szCs w:val="32"/>
          <w:rtl/>
        </w:rPr>
        <w:t>، وعهد الحكم الفارسي، والأسماء التاريخيّة المختلفة التي حملتها القطع الفضيّة والنحاسيّة والبرونزيّة المختلفة، والكتابات والرسوم والأشكال التي نُقشت عليها، والدلالات الحضاريّة التي تؤكّد على أهمية طرابلس بين سائر المدن الفينيقيّة على ساحل البحر المتوسّط، وذلك اعتبارًا من عهد "</w:t>
      </w:r>
      <w:proofErr w:type="spellStart"/>
      <w:r w:rsidRPr="00164A54">
        <w:rPr>
          <w:rFonts w:cs="Traditional Arabic" w:hint="cs"/>
          <w:sz w:val="32"/>
          <w:szCs w:val="32"/>
          <w:rtl/>
        </w:rPr>
        <w:t>أنتيغانوس</w:t>
      </w:r>
      <w:proofErr w:type="spellEnd"/>
      <w:r w:rsidRPr="00164A54">
        <w:rPr>
          <w:rFonts w:cs="Traditional Arabic" w:hint="cs"/>
          <w:sz w:val="32"/>
          <w:szCs w:val="32"/>
          <w:rtl/>
        </w:rPr>
        <w:t>" سنة 312ق.م. حيث ضُربت نقودٌ تحمل اسم "</w:t>
      </w:r>
      <w:proofErr w:type="spellStart"/>
      <w:r w:rsidRPr="00164A54">
        <w:rPr>
          <w:rFonts w:cs="Traditional Arabic" w:hint="cs"/>
          <w:sz w:val="32"/>
          <w:szCs w:val="32"/>
          <w:rtl/>
        </w:rPr>
        <w:t>تريبوليتان</w:t>
      </w:r>
      <w:proofErr w:type="spellEnd"/>
      <w:r w:rsidRPr="00164A54">
        <w:rPr>
          <w:rFonts w:cs="Traditional Arabic" w:hint="cs"/>
          <w:sz w:val="32"/>
          <w:szCs w:val="32"/>
          <w:rtl/>
        </w:rPr>
        <w:t xml:space="preserve"> </w:t>
      </w:r>
      <w:proofErr w:type="spellStart"/>
      <w:r w:rsidRPr="00164A54">
        <w:rPr>
          <w:rFonts w:cs="Traditional Arabic"/>
          <w:sz w:val="32"/>
          <w:szCs w:val="32"/>
          <w:lang w:bidi="ar-LB"/>
        </w:rPr>
        <w:t>tripolitan</w:t>
      </w:r>
      <w:proofErr w:type="spellEnd"/>
      <w:r w:rsidRPr="00164A54">
        <w:rPr>
          <w:rFonts w:cs="Traditional Arabic" w:hint="cs"/>
          <w:sz w:val="32"/>
          <w:szCs w:val="32"/>
          <w:rtl/>
          <w:lang w:bidi="ar-LB"/>
        </w:rPr>
        <w:t>" للدلالة ع</w:t>
      </w:r>
      <w:r>
        <w:rPr>
          <w:rFonts w:cs="Traditional Arabic" w:hint="cs"/>
          <w:sz w:val="32"/>
          <w:szCs w:val="32"/>
          <w:rtl/>
          <w:lang w:bidi="ar-LB"/>
        </w:rPr>
        <w:t>لى موقع المدينة السياسي كمقرّ لا</w:t>
      </w:r>
      <w:r w:rsidRPr="00164A54">
        <w:rPr>
          <w:rFonts w:cs="Traditional Arabic" w:hint="cs"/>
          <w:sz w:val="32"/>
          <w:szCs w:val="32"/>
          <w:rtl/>
          <w:lang w:bidi="ar-LB"/>
        </w:rPr>
        <w:t>تحاد المدن الفينيقيّة الذي نشأ في منتصف القرن السادس قبل الميلاد،</w:t>
      </w:r>
      <w:r w:rsidRPr="00164A54">
        <w:rPr>
          <w:rFonts w:cs="Traditional Arabic"/>
          <w:sz w:val="32"/>
          <w:szCs w:val="32"/>
          <w:lang w:bidi="ar-LB"/>
        </w:rPr>
        <w:t xml:space="preserve"> </w:t>
      </w:r>
      <w:r w:rsidRPr="00164A54">
        <w:rPr>
          <w:rFonts w:cs="Traditional Arabic" w:hint="cs"/>
          <w:sz w:val="32"/>
          <w:szCs w:val="32"/>
          <w:rtl/>
          <w:lang w:bidi="ar-LB"/>
        </w:rPr>
        <w:t xml:space="preserve">حتى عهد الإمبراطور الروماني "ألا </w:t>
      </w:r>
      <w:proofErr w:type="spellStart"/>
      <w:r w:rsidRPr="00164A54">
        <w:rPr>
          <w:rFonts w:cs="Traditional Arabic" w:hint="cs"/>
          <w:sz w:val="32"/>
          <w:szCs w:val="32"/>
          <w:rtl/>
          <w:lang w:bidi="ar-LB"/>
        </w:rPr>
        <w:t>جابالوس</w:t>
      </w:r>
      <w:proofErr w:type="spellEnd"/>
      <w:r w:rsidRPr="00164A54">
        <w:rPr>
          <w:rFonts w:cs="Traditional Arabic" w:hint="cs"/>
          <w:sz w:val="32"/>
          <w:szCs w:val="32"/>
          <w:rtl/>
          <w:lang w:bidi="ar-LB"/>
        </w:rPr>
        <w:t xml:space="preserve">" (218 </w:t>
      </w:r>
      <w:r w:rsidRPr="00164A54">
        <w:rPr>
          <w:rFonts w:cs="Traditional Arabic"/>
          <w:sz w:val="32"/>
          <w:szCs w:val="32"/>
          <w:rtl/>
          <w:lang w:bidi="ar-LB"/>
        </w:rPr>
        <w:t>–</w:t>
      </w:r>
      <w:r w:rsidRPr="00164A54">
        <w:rPr>
          <w:rFonts w:cs="Traditional Arabic" w:hint="cs"/>
          <w:sz w:val="32"/>
          <w:szCs w:val="32"/>
          <w:rtl/>
          <w:lang w:bidi="ar-LB"/>
        </w:rPr>
        <w:t xml:space="preserve"> 222م.)، مروراً بنقود "كليوباتر</w:t>
      </w:r>
      <w:r w:rsidRPr="00164A54">
        <w:rPr>
          <w:rFonts w:cs="Traditional Arabic" w:hint="eastAsia"/>
          <w:sz w:val="32"/>
          <w:szCs w:val="32"/>
          <w:rtl/>
          <w:lang w:bidi="ar-LB"/>
        </w:rPr>
        <w:t>ا</w:t>
      </w:r>
      <w:r w:rsidRPr="00164A54">
        <w:rPr>
          <w:rFonts w:cs="Traditional Arabic" w:hint="cs"/>
          <w:sz w:val="32"/>
          <w:szCs w:val="32"/>
          <w:rtl/>
          <w:lang w:bidi="ar-LB"/>
        </w:rPr>
        <w:t>" ملكة مصر، والأباطرة "أغسطس" و"نيرون" و"</w:t>
      </w:r>
      <w:proofErr w:type="spellStart"/>
      <w:r w:rsidRPr="00164A54">
        <w:rPr>
          <w:rFonts w:cs="Traditional Arabic" w:hint="cs"/>
          <w:sz w:val="32"/>
          <w:szCs w:val="32"/>
          <w:rtl/>
          <w:lang w:bidi="ar-LB"/>
        </w:rPr>
        <w:t>تريانوس</w:t>
      </w:r>
      <w:proofErr w:type="spellEnd"/>
      <w:r w:rsidRPr="00164A54">
        <w:rPr>
          <w:rFonts w:cs="Traditional Arabic" w:hint="cs"/>
          <w:sz w:val="32"/>
          <w:szCs w:val="32"/>
          <w:rtl/>
          <w:lang w:bidi="ar-LB"/>
        </w:rPr>
        <w:t>"</w:t>
      </w:r>
      <w:r>
        <w:rPr>
          <w:rFonts w:cs="Traditional Arabic" w:hint="cs"/>
          <w:sz w:val="32"/>
          <w:szCs w:val="32"/>
          <w:rtl/>
          <w:lang w:bidi="ar-LB"/>
        </w:rPr>
        <w:t>، وموقعة "</w:t>
      </w:r>
      <w:proofErr w:type="spellStart"/>
      <w:r>
        <w:rPr>
          <w:rFonts w:cs="Traditional Arabic" w:hint="cs"/>
          <w:sz w:val="32"/>
          <w:szCs w:val="32"/>
          <w:rtl/>
          <w:lang w:bidi="ar-LB"/>
        </w:rPr>
        <w:t>أكتيوم</w:t>
      </w:r>
      <w:proofErr w:type="spellEnd"/>
      <w:r>
        <w:rPr>
          <w:rFonts w:cs="Traditional Arabic" w:hint="cs"/>
          <w:sz w:val="32"/>
          <w:szCs w:val="32"/>
          <w:rtl/>
          <w:lang w:bidi="ar-LB"/>
        </w:rPr>
        <w:t>" في سنة 31ق.م.</w:t>
      </w:r>
      <w:r w:rsidRPr="00164A54">
        <w:rPr>
          <w:rFonts w:cs="Traditional Arabic" w:hint="cs"/>
          <w:sz w:val="32"/>
          <w:szCs w:val="32"/>
          <w:rtl/>
          <w:lang w:bidi="ar-LB"/>
        </w:rPr>
        <w:t xml:space="preserve"> وصولاً إلى نقود الأباطرة الرومان "</w:t>
      </w:r>
      <w:proofErr w:type="spellStart"/>
      <w:r w:rsidRPr="00164A54">
        <w:rPr>
          <w:rFonts w:cs="Traditional Arabic" w:hint="cs"/>
          <w:sz w:val="32"/>
          <w:szCs w:val="32"/>
          <w:rtl/>
          <w:lang w:bidi="ar-LB"/>
        </w:rPr>
        <w:t>هدريانوس</w:t>
      </w:r>
      <w:proofErr w:type="spellEnd"/>
      <w:r w:rsidRPr="00164A54">
        <w:rPr>
          <w:rFonts w:cs="Traditional Arabic" w:hint="cs"/>
          <w:sz w:val="32"/>
          <w:szCs w:val="32"/>
          <w:rtl/>
          <w:lang w:bidi="ar-LB"/>
        </w:rPr>
        <w:t>" و"</w:t>
      </w:r>
      <w:proofErr w:type="spellStart"/>
      <w:r w:rsidRPr="00164A54">
        <w:rPr>
          <w:rFonts w:cs="Traditional Arabic" w:hint="cs"/>
          <w:sz w:val="32"/>
          <w:szCs w:val="32"/>
          <w:rtl/>
          <w:lang w:bidi="ar-LB"/>
        </w:rPr>
        <w:t>كركلاّ</w:t>
      </w:r>
      <w:proofErr w:type="spellEnd"/>
      <w:r w:rsidRPr="00164A54">
        <w:rPr>
          <w:rFonts w:cs="Traditional Arabic" w:hint="cs"/>
          <w:sz w:val="32"/>
          <w:szCs w:val="32"/>
          <w:rtl/>
          <w:lang w:bidi="ar-LB"/>
        </w:rPr>
        <w:t>" و"</w:t>
      </w:r>
      <w:proofErr w:type="spellStart"/>
      <w:r w:rsidRPr="00164A54">
        <w:rPr>
          <w:rFonts w:cs="Traditional Arabic" w:hint="cs"/>
          <w:sz w:val="32"/>
          <w:szCs w:val="32"/>
          <w:rtl/>
          <w:lang w:bidi="ar-LB"/>
        </w:rPr>
        <w:t>جوليا</w:t>
      </w:r>
      <w:proofErr w:type="spellEnd"/>
      <w:r w:rsidRPr="00164A54">
        <w:rPr>
          <w:rFonts w:cs="Traditional Arabic" w:hint="cs"/>
          <w:sz w:val="32"/>
          <w:szCs w:val="32"/>
          <w:rtl/>
          <w:lang w:bidi="ar-LB"/>
        </w:rPr>
        <w:t xml:space="preserve"> </w:t>
      </w:r>
      <w:proofErr w:type="spellStart"/>
      <w:r w:rsidRPr="00164A54">
        <w:rPr>
          <w:rFonts w:cs="Traditional Arabic" w:hint="cs"/>
          <w:sz w:val="32"/>
          <w:szCs w:val="32"/>
          <w:rtl/>
          <w:lang w:bidi="ar-LB"/>
        </w:rPr>
        <w:t>دومنا</w:t>
      </w:r>
      <w:proofErr w:type="spellEnd"/>
      <w:r w:rsidRPr="00164A54">
        <w:rPr>
          <w:rFonts w:cs="Traditional Arabic" w:hint="cs"/>
          <w:sz w:val="32"/>
          <w:szCs w:val="32"/>
          <w:rtl/>
          <w:lang w:bidi="ar-LB"/>
        </w:rPr>
        <w:t>" و"ماكرين".</w:t>
      </w:r>
      <w:r w:rsidRPr="00164A54">
        <w:rPr>
          <w:rFonts w:cs="Traditional Arabic"/>
          <w:sz w:val="32"/>
          <w:szCs w:val="32"/>
          <w:lang w:bidi="ar-LB"/>
        </w:rPr>
        <w:t xml:space="preserve"> </w:t>
      </w:r>
    </w:p>
    <w:p w:rsidR="004178A5" w:rsidRPr="00164A54" w:rsidRDefault="004178A5" w:rsidP="004178A5">
      <w:pPr>
        <w:bidi/>
        <w:jc w:val="center"/>
        <w:rPr>
          <w:rFonts w:cs="Traditional Arabic"/>
          <w:sz w:val="32"/>
          <w:szCs w:val="32"/>
          <w:rtl/>
          <w:lang w:bidi="ar-LB"/>
        </w:rPr>
      </w:pPr>
      <w:r w:rsidRPr="00164A54">
        <w:rPr>
          <w:rFonts w:cs="Traditional Arabic" w:hint="cs"/>
          <w:sz w:val="32"/>
          <w:szCs w:val="32"/>
          <w:rtl/>
          <w:lang w:bidi="ar-LB"/>
        </w:rPr>
        <w:t>---------------------------------</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78A5"/>
    <w:rsid w:val="001101A0"/>
    <w:rsid w:val="004178A5"/>
    <w:rsid w:val="00686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8A5"/>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Company>Bibliotheca Alexandrina</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2009-02-23T14:00:00Z</dcterms:created>
  <dcterms:modified xsi:type="dcterms:W3CDTF">2009-02-23T14:01:00Z</dcterms:modified>
</cp:coreProperties>
</file>