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56" w:rsidRPr="00164A54" w:rsidRDefault="00651756" w:rsidP="00651756">
      <w:pPr>
        <w:bidi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 xml:space="preserve">عمر عبد السلام </w:t>
      </w:r>
      <w:proofErr w:type="gramStart"/>
      <w:r w:rsidRPr="00164A54">
        <w:rPr>
          <w:rFonts w:cs="Traditional Arabic" w:hint="cs"/>
          <w:b/>
          <w:bCs/>
          <w:sz w:val="32"/>
          <w:szCs w:val="32"/>
          <w:rtl/>
        </w:rPr>
        <w:t>تدمري</w:t>
      </w:r>
      <w:proofErr w:type="gramEnd"/>
    </w:p>
    <w:p w:rsidR="00651756" w:rsidRPr="00164A54" w:rsidRDefault="00651756" w:rsidP="00651756">
      <w:pPr>
        <w:bidi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الجامعة اللبنانية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طرابلس</w:t>
      </w:r>
    </w:p>
    <w:p w:rsidR="00651756" w:rsidRPr="00164A54" w:rsidRDefault="00651756" w:rsidP="00651756">
      <w:pPr>
        <w:bidi/>
        <w:jc w:val="center"/>
        <w:rPr>
          <w:rFonts w:cs="Traditional Arabic"/>
          <w:b/>
          <w:bCs/>
          <w:sz w:val="32"/>
          <w:szCs w:val="32"/>
          <w:rtl/>
          <w:lang w:bidi="ar-LB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LB"/>
        </w:rPr>
        <w:t>رنوك سلاطين المماليك ورسومهم</w:t>
      </w:r>
    </w:p>
    <w:p w:rsidR="00651756" w:rsidRPr="00164A54" w:rsidRDefault="00651756" w:rsidP="00651756">
      <w:pPr>
        <w:bidi/>
        <w:jc w:val="center"/>
        <w:rPr>
          <w:rFonts w:cs="Traditional Arabic"/>
          <w:b/>
          <w:bCs/>
          <w:sz w:val="32"/>
          <w:szCs w:val="32"/>
          <w:rtl/>
          <w:lang w:bidi="ar-LB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LB"/>
        </w:rPr>
        <w:t>على النقود المضروبة في طرابلس الشام</w:t>
      </w:r>
    </w:p>
    <w:p w:rsidR="00651756" w:rsidRPr="00164A54" w:rsidRDefault="00651756" w:rsidP="00651756">
      <w:pPr>
        <w:bidi/>
        <w:rPr>
          <w:rFonts w:cs="Traditional Arabic"/>
          <w:b/>
          <w:bCs/>
          <w:sz w:val="32"/>
          <w:szCs w:val="32"/>
          <w:rtl/>
          <w:lang w:bidi="ar-LB"/>
        </w:rPr>
      </w:pPr>
    </w:p>
    <w:p w:rsidR="00651756" w:rsidRPr="00164A54" w:rsidRDefault="00651756" w:rsidP="00651756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يتناول البحث أنواع النقود التي أمر سلاطين المماليك بضربها في مدينة طرابلس الشام باعتبارها مراكز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نيابات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السلطنة، إلى جانب القاهرة والإسكندرية ودمشق وحلب وحماه، من فضيّة ونحاسيّة، وقراءة نصوصها، وبيان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الرنوك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التي ترمز إلى كل واحد من السلاطين، وأشكال الرسوم عليها.علمًا أن طرابلس كانت عاصمة لإمارة صليبية، وجرى </w:t>
      </w:r>
      <w:r>
        <w:rPr>
          <w:rFonts w:cs="Traditional Arabic" w:hint="cs"/>
          <w:sz w:val="32"/>
          <w:szCs w:val="32"/>
          <w:rtl/>
        </w:rPr>
        <w:t>تحريرها وهدمها كليّاً عام 688هـ/1289م</w:t>
      </w:r>
      <w:r w:rsidRPr="00164A54">
        <w:rPr>
          <w:rFonts w:cs="Traditional Arabic" w:hint="cs"/>
          <w:sz w:val="32"/>
          <w:szCs w:val="32"/>
          <w:rtl/>
        </w:rPr>
        <w:t xml:space="preserve"> ولهذا تأخّر إنشاء دار الضرب وصكّ النقود فيها حتى السلطنة الثالثة للملك الناصر محمّد بن قلاوون (709 </w:t>
      </w:r>
      <w:r w:rsidRPr="00164A54"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741 هـ</w:t>
      </w:r>
      <w:r w:rsidRPr="00164A54">
        <w:rPr>
          <w:rFonts w:cs="Traditional Arabic" w:hint="cs"/>
          <w:sz w:val="32"/>
          <w:szCs w:val="32"/>
          <w:rtl/>
        </w:rPr>
        <w:t xml:space="preserve">/1309 </w:t>
      </w:r>
      <w:r w:rsidRPr="00164A54"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1340م</w:t>
      </w:r>
      <w:r w:rsidRPr="00164A54">
        <w:rPr>
          <w:rFonts w:cs="Traditional Arabic" w:hint="cs"/>
          <w:sz w:val="32"/>
          <w:szCs w:val="32"/>
          <w:rtl/>
        </w:rPr>
        <w:t xml:space="preserve">)، واستمرّ ضرب النقود فيها حتى عهد السلطان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جقمق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(842 </w:t>
      </w:r>
      <w:r w:rsidRPr="00164A54"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757 هـ</w:t>
      </w:r>
      <w:r w:rsidRPr="00164A54">
        <w:rPr>
          <w:rFonts w:cs="Traditional Arabic" w:hint="cs"/>
          <w:sz w:val="32"/>
          <w:szCs w:val="32"/>
          <w:rtl/>
        </w:rPr>
        <w:t xml:space="preserve">/1438 </w:t>
      </w:r>
      <w:r w:rsidRPr="00164A54"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1453م</w:t>
      </w:r>
      <w:r w:rsidRPr="00164A54">
        <w:rPr>
          <w:rFonts w:cs="Traditional Arabic" w:hint="cs"/>
          <w:sz w:val="32"/>
          <w:szCs w:val="32"/>
          <w:rtl/>
        </w:rPr>
        <w:t>).</w:t>
      </w:r>
    </w:p>
    <w:p w:rsidR="00651756" w:rsidRPr="00164A54" w:rsidRDefault="00651756" w:rsidP="00651756">
      <w:pPr>
        <w:bidi/>
        <w:ind w:firstLine="720"/>
        <w:jc w:val="center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>-----------------------------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756"/>
    <w:rsid w:val="001101A0"/>
    <w:rsid w:val="00651756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56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Bibliotheca Alexandrina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2009-02-23T14:01:00Z</dcterms:created>
  <dcterms:modified xsi:type="dcterms:W3CDTF">2009-02-23T14:01:00Z</dcterms:modified>
</cp:coreProperties>
</file>