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355" w:rsidRDefault="00E16355" w:rsidP="00E16355">
      <w:pPr>
        <w:tabs>
          <w:tab w:val="right" w:pos="702"/>
        </w:tabs>
        <w:bidi/>
        <w:rPr>
          <w:rFonts w:cs="Traditional Arabic"/>
          <w:b/>
          <w:bCs/>
          <w:sz w:val="32"/>
          <w:szCs w:val="32"/>
          <w:rtl/>
        </w:rPr>
      </w:pPr>
      <w:proofErr w:type="gramStart"/>
      <w:r>
        <w:rPr>
          <w:rFonts w:cs="Traditional Arabic" w:hint="cs"/>
          <w:b/>
          <w:bCs/>
          <w:sz w:val="32"/>
          <w:szCs w:val="32"/>
          <w:rtl/>
        </w:rPr>
        <w:t>حنان</w:t>
      </w:r>
      <w:proofErr w:type="gramEnd"/>
      <w:r>
        <w:rPr>
          <w:rFonts w:cs="Traditional Arabic" w:hint="cs"/>
          <w:b/>
          <w:bCs/>
          <w:sz w:val="32"/>
          <w:szCs w:val="32"/>
          <w:rtl/>
        </w:rPr>
        <w:t xml:space="preserve"> مطاوع </w:t>
      </w:r>
    </w:p>
    <w:p w:rsidR="00E16355" w:rsidRPr="00B02DA7" w:rsidRDefault="00E16355" w:rsidP="00E16355">
      <w:pPr>
        <w:tabs>
          <w:tab w:val="right" w:pos="702"/>
        </w:tabs>
        <w:bidi/>
        <w:rPr>
          <w:rFonts w:cs="Traditional Arabic"/>
          <w:sz w:val="32"/>
          <w:szCs w:val="32"/>
          <w:rtl/>
        </w:rPr>
      </w:pPr>
      <w:r w:rsidRPr="00B02DA7">
        <w:rPr>
          <w:rFonts w:cs="Traditional Arabic" w:hint="cs"/>
          <w:sz w:val="32"/>
          <w:szCs w:val="32"/>
          <w:rtl/>
        </w:rPr>
        <w:t xml:space="preserve">كلية الآداب </w:t>
      </w:r>
      <w:r w:rsidRPr="00B02DA7">
        <w:rPr>
          <w:rFonts w:cs="Traditional Arabic"/>
          <w:sz w:val="32"/>
          <w:szCs w:val="32"/>
          <w:rtl/>
        </w:rPr>
        <w:t>–</w:t>
      </w:r>
      <w:r w:rsidRPr="00B02DA7">
        <w:rPr>
          <w:rFonts w:cs="Traditional Arabic" w:hint="cs"/>
          <w:sz w:val="32"/>
          <w:szCs w:val="32"/>
          <w:rtl/>
        </w:rPr>
        <w:t xml:space="preserve"> جامعة الإسكندرية</w:t>
      </w:r>
    </w:p>
    <w:p w:rsidR="00E16355" w:rsidRDefault="00E16355" w:rsidP="00E16355">
      <w:pPr>
        <w:tabs>
          <w:tab w:val="right" w:pos="702"/>
        </w:tabs>
        <w:bidi/>
        <w:rPr>
          <w:rFonts w:cs="Traditional Arabic"/>
          <w:b/>
          <w:bCs/>
          <w:sz w:val="32"/>
          <w:szCs w:val="32"/>
          <w:rtl/>
        </w:rPr>
      </w:pPr>
    </w:p>
    <w:p w:rsidR="00E16355" w:rsidRPr="00B02DA7" w:rsidRDefault="00E16355" w:rsidP="00E16355">
      <w:pPr>
        <w:tabs>
          <w:tab w:val="right" w:pos="702"/>
        </w:tabs>
        <w:bidi/>
        <w:jc w:val="center"/>
        <w:rPr>
          <w:rFonts w:cs="Traditional Arabic"/>
          <w:b/>
          <w:bCs/>
          <w:sz w:val="32"/>
          <w:szCs w:val="32"/>
          <w:rtl/>
        </w:rPr>
      </w:pPr>
      <w:r w:rsidRPr="00B02DA7">
        <w:rPr>
          <w:rFonts w:cs="Traditional Arabic" w:hint="cs"/>
          <w:b/>
          <w:bCs/>
          <w:sz w:val="32"/>
          <w:szCs w:val="32"/>
          <w:rtl/>
        </w:rPr>
        <w:t>الدلالات الدينية والمذهبية لنقود الموحدين الفضية في</w:t>
      </w:r>
    </w:p>
    <w:p w:rsidR="00E16355" w:rsidRPr="00B02DA7" w:rsidRDefault="00E16355" w:rsidP="00E16355">
      <w:pPr>
        <w:tabs>
          <w:tab w:val="right" w:pos="702"/>
        </w:tabs>
        <w:bidi/>
        <w:jc w:val="center"/>
        <w:rPr>
          <w:rFonts w:cs="Traditional Arabic"/>
          <w:b/>
          <w:bCs/>
          <w:sz w:val="32"/>
          <w:szCs w:val="32"/>
          <w:rtl/>
        </w:rPr>
      </w:pPr>
      <w:r w:rsidRPr="00B02DA7">
        <w:rPr>
          <w:rFonts w:cs="Traditional Arabic" w:hint="cs"/>
          <w:b/>
          <w:bCs/>
          <w:sz w:val="32"/>
          <w:szCs w:val="32"/>
          <w:rtl/>
        </w:rPr>
        <w:t>ضوء مجموعة دراهم بمتحف مدريد الوطن</w:t>
      </w:r>
      <w:r>
        <w:rPr>
          <w:rFonts w:cs="Traditional Arabic" w:hint="cs"/>
          <w:b/>
          <w:bCs/>
          <w:sz w:val="32"/>
          <w:szCs w:val="32"/>
          <w:rtl/>
        </w:rPr>
        <w:t>ي</w:t>
      </w:r>
    </w:p>
    <w:p w:rsidR="00E16355" w:rsidRPr="00B02DA7" w:rsidRDefault="00E16355" w:rsidP="00E16355">
      <w:pPr>
        <w:tabs>
          <w:tab w:val="right" w:pos="702"/>
        </w:tabs>
        <w:bidi/>
        <w:rPr>
          <w:rFonts w:cs="Traditional Arabic"/>
          <w:b/>
          <w:bCs/>
          <w:sz w:val="32"/>
          <w:szCs w:val="32"/>
          <w:rtl/>
        </w:rPr>
      </w:pPr>
    </w:p>
    <w:p w:rsidR="00E16355" w:rsidRPr="00B02DA7" w:rsidRDefault="00E16355" w:rsidP="00E16355">
      <w:pPr>
        <w:tabs>
          <w:tab w:val="right" w:pos="702"/>
        </w:tabs>
        <w:bidi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ab/>
      </w:r>
      <w:r>
        <w:rPr>
          <w:rFonts w:cs="Traditional Arabic" w:hint="cs"/>
          <w:sz w:val="32"/>
          <w:szCs w:val="32"/>
          <w:rtl/>
        </w:rPr>
        <w:tab/>
      </w:r>
      <w:proofErr w:type="gramStart"/>
      <w:r w:rsidRPr="00B02DA7">
        <w:rPr>
          <w:rFonts w:cs="Traditional Arabic" w:hint="cs"/>
          <w:sz w:val="32"/>
          <w:szCs w:val="32"/>
          <w:rtl/>
        </w:rPr>
        <w:t>من</w:t>
      </w:r>
      <w:proofErr w:type="gramEnd"/>
      <w:r w:rsidRPr="00B02DA7">
        <w:rPr>
          <w:rFonts w:cs="Traditional Arabic" w:hint="cs"/>
          <w:sz w:val="32"/>
          <w:szCs w:val="32"/>
          <w:rtl/>
        </w:rPr>
        <w:t xml:space="preserve"> المعروف أن دولة الموحدين كانت أعظم دولة إسلامية قامت في ال</w:t>
      </w:r>
      <w:r>
        <w:rPr>
          <w:rFonts w:cs="Traditional Arabic" w:hint="cs"/>
          <w:sz w:val="32"/>
          <w:szCs w:val="32"/>
          <w:rtl/>
        </w:rPr>
        <w:t>م</w:t>
      </w:r>
      <w:r w:rsidRPr="00B02DA7">
        <w:rPr>
          <w:rFonts w:cs="Traditional Arabic" w:hint="cs"/>
          <w:sz w:val="32"/>
          <w:szCs w:val="32"/>
          <w:rtl/>
        </w:rPr>
        <w:t xml:space="preserve">غرب، طابعها التجديد وهدفها تحقيق وحدة إسلامية شاملة. </w:t>
      </w:r>
      <w:proofErr w:type="gramStart"/>
      <w:r w:rsidRPr="00B02DA7">
        <w:rPr>
          <w:rFonts w:cs="Traditional Arabic" w:hint="cs"/>
          <w:sz w:val="32"/>
          <w:szCs w:val="32"/>
          <w:rtl/>
        </w:rPr>
        <w:t>وقد</w:t>
      </w:r>
      <w:proofErr w:type="gramEnd"/>
      <w:r w:rsidRPr="00B02DA7">
        <w:rPr>
          <w:rFonts w:cs="Traditional Arabic" w:hint="cs"/>
          <w:sz w:val="32"/>
          <w:szCs w:val="32"/>
          <w:rtl/>
        </w:rPr>
        <w:t xml:space="preserve"> انعكس هذا التجديد على كافة نواحي الحياة السياسية والدينية والاقتصادية بما في ذلك العملات التي سكها الموحدون والتي اختلفت في شكلها ومضمون عباراتها الدينية التي تحملها عن جميع العملات الإسلامية.</w:t>
      </w:r>
    </w:p>
    <w:p w:rsidR="00E16355" w:rsidRPr="00B02DA7" w:rsidRDefault="00E16355" w:rsidP="00E16355">
      <w:pPr>
        <w:tabs>
          <w:tab w:val="right" w:pos="702"/>
        </w:tabs>
        <w:bidi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ab/>
      </w:r>
      <w:r>
        <w:rPr>
          <w:rFonts w:cs="Traditional Arabic" w:hint="cs"/>
          <w:sz w:val="32"/>
          <w:szCs w:val="32"/>
          <w:rtl/>
        </w:rPr>
        <w:tab/>
      </w:r>
      <w:r w:rsidRPr="00B02DA7">
        <w:rPr>
          <w:rFonts w:cs="Traditional Arabic" w:hint="cs"/>
          <w:sz w:val="32"/>
          <w:szCs w:val="32"/>
          <w:rtl/>
        </w:rPr>
        <w:t xml:space="preserve">وأضاف الخليفة يعقوب المنصور للعملات </w:t>
      </w:r>
      <w:proofErr w:type="spellStart"/>
      <w:r w:rsidRPr="00B02DA7">
        <w:rPr>
          <w:rFonts w:cs="Traditional Arabic" w:hint="cs"/>
          <w:sz w:val="32"/>
          <w:szCs w:val="32"/>
          <w:rtl/>
        </w:rPr>
        <w:t>الموحدية</w:t>
      </w:r>
      <w:proofErr w:type="spellEnd"/>
      <w:r w:rsidRPr="00B02DA7">
        <w:rPr>
          <w:rFonts w:cs="Traditional Arabic" w:hint="cs"/>
          <w:sz w:val="32"/>
          <w:szCs w:val="32"/>
          <w:rtl/>
        </w:rPr>
        <w:t xml:space="preserve"> دنانير </w:t>
      </w:r>
      <w:r>
        <w:rPr>
          <w:rFonts w:cs="Traditional Arabic" w:hint="cs"/>
          <w:sz w:val="32"/>
          <w:szCs w:val="32"/>
          <w:rtl/>
        </w:rPr>
        <w:t>مضاعفه</w:t>
      </w:r>
      <w:r w:rsidRPr="00B02DA7">
        <w:rPr>
          <w:rFonts w:cs="Traditional Arabic" w:hint="cs"/>
          <w:sz w:val="32"/>
          <w:szCs w:val="32"/>
          <w:rtl/>
        </w:rPr>
        <w:t xml:space="preserve"> من وزن دينارين في الواحد عرفت لدى</w:t>
      </w:r>
      <w:r>
        <w:rPr>
          <w:rFonts w:cs="Traditional Arabic" w:hint="cs"/>
          <w:sz w:val="32"/>
          <w:szCs w:val="32"/>
          <w:rtl/>
        </w:rPr>
        <w:t xml:space="preserve"> </w:t>
      </w:r>
      <w:proofErr w:type="spellStart"/>
      <w:r>
        <w:rPr>
          <w:rFonts w:cs="Traditional Arabic" w:hint="cs"/>
          <w:sz w:val="32"/>
          <w:szCs w:val="32"/>
          <w:rtl/>
        </w:rPr>
        <w:t>نصاري</w:t>
      </w:r>
      <w:proofErr w:type="spellEnd"/>
      <w:r w:rsidRPr="00B02DA7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إ</w:t>
      </w:r>
      <w:r w:rsidRPr="00B02DA7">
        <w:rPr>
          <w:rFonts w:cs="Traditional Arabic" w:hint="cs"/>
          <w:sz w:val="32"/>
          <w:szCs w:val="32"/>
          <w:rtl/>
        </w:rPr>
        <w:t>سبانيا باسم</w:t>
      </w:r>
      <w:r>
        <w:rPr>
          <w:rFonts w:cs="Traditional Arabic" w:hint="cs"/>
          <w:sz w:val="32"/>
          <w:szCs w:val="32"/>
          <w:rtl/>
        </w:rPr>
        <w:t xml:space="preserve"> دبله</w:t>
      </w:r>
      <w:r w:rsidRPr="00B02DA7">
        <w:rPr>
          <w:rFonts w:cs="Traditional Arabic" w:hint="cs"/>
          <w:sz w:val="32"/>
          <w:szCs w:val="32"/>
          <w:rtl/>
        </w:rPr>
        <w:t xml:space="preserve"> </w:t>
      </w:r>
      <w:proofErr w:type="spellStart"/>
      <w:r w:rsidRPr="00B02DA7">
        <w:rPr>
          <w:rFonts w:cs="Traditional Arabic"/>
          <w:sz w:val="32"/>
          <w:szCs w:val="32"/>
        </w:rPr>
        <w:t>Dobla</w:t>
      </w:r>
      <w:proofErr w:type="spellEnd"/>
      <w:r w:rsidRPr="00B02DA7">
        <w:rPr>
          <w:rFonts w:cs="Traditional Arabic" w:hint="cs"/>
          <w:sz w:val="32"/>
          <w:szCs w:val="32"/>
          <w:rtl/>
        </w:rPr>
        <w:t xml:space="preserve"> كما سك نصف دينار يزن دينارا عاديا أي نصف </w:t>
      </w:r>
      <w:proofErr w:type="spellStart"/>
      <w:r w:rsidRPr="00B02DA7">
        <w:rPr>
          <w:rFonts w:cs="Traditional Arabic"/>
          <w:sz w:val="32"/>
          <w:szCs w:val="32"/>
        </w:rPr>
        <w:t>Dobla</w:t>
      </w:r>
      <w:proofErr w:type="spellEnd"/>
      <w:r w:rsidRPr="00B02DA7">
        <w:rPr>
          <w:rFonts w:cs="Traditional Arabic" w:hint="cs"/>
          <w:sz w:val="32"/>
          <w:szCs w:val="32"/>
          <w:rtl/>
        </w:rPr>
        <w:t xml:space="preserve">. </w:t>
      </w:r>
    </w:p>
    <w:p w:rsidR="00E16355" w:rsidRPr="00B02DA7" w:rsidRDefault="00E16355" w:rsidP="00E16355">
      <w:pPr>
        <w:tabs>
          <w:tab w:val="right" w:pos="702"/>
        </w:tabs>
        <w:bidi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ab/>
      </w:r>
      <w:r>
        <w:rPr>
          <w:rFonts w:cs="Traditional Arabic" w:hint="cs"/>
          <w:sz w:val="32"/>
          <w:szCs w:val="32"/>
          <w:rtl/>
        </w:rPr>
        <w:tab/>
      </w:r>
      <w:r w:rsidRPr="00B02DA7">
        <w:rPr>
          <w:rFonts w:cs="Traditional Arabic" w:hint="cs"/>
          <w:sz w:val="32"/>
          <w:szCs w:val="32"/>
          <w:rtl/>
        </w:rPr>
        <w:t>اختلفت طرز عملات الموحدين وتوجد منها مجموعة من الدراهم الفضية النادرة في متحف مدريد الوطني والتي ت</w:t>
      </w:r>
      <w:r>
        <w:rPr>
          <w:rFonts w:cs="Traditional Arabic" w:hint="cs"/>
          <w:sz w:val="32"/>
          <w:szCs w:val="32"/>
          <w:rtl/>
        </w:rPr>
        <w:t xml:space="preserve">نشر لأول مرة في هذا البحث. </w:t>
      </w:r>
      <w:r w:rsidRPr="00B02DA7">
        <w:rPr>
          <w:rFonts w:cs="Traditional Arabic" w:hint="cs"/>
          <w:sz w:val="32"/>
          <w:szCs w:val="32"/>
          <w:rtl/>
        </w:rPr>
        <w:t>وقد قسمت هذه المجموعة إلى طرازين الأول اشتملت كتاباته على مكان الضرب بقرطبة وفارس</w:t>
      </w:r>
      <w:r>
        <w:rPr>
          <w:rFonts w:cs="Traditional Arabic" w:hint="cs"/>
          <w:sz w:val="32"/>
          <w:szCs w:val="32"/>
          <w:rtl/>
        </w:rPr>
        <w:t>،</w:t>
      </w:r>
      <w:r w:rsidRPr="00B02DA7">
        <w:rPr>
          <w:rFonts w:cs="Traditional Arabic" w:hint="cs"/>
          <w:sz w:val="32"/>
          <w:szCs w:val="32"/>
          <w:rtl/>
        </w:rPr>
        <w:t xml:space="preserve"> أما الطراز الثاني ي</w:t>
      </w:r>
      <w:r>
        <w:rPr>
          <w:rFonts w:cs="Traditional Arabic" w:hint="cs"/>
          <w:sz w:val="32"/>
          <w:szCs w:val="32"/>
          <w:rtl/>
        </w:rPr>
        <w:t>خلو من الإشارة إلى مكان الضرب و</w:t>
      </w:r>
      <w:r w:rsidRPr="00B02DA7">
        <w:rPr>
          <w:rFonts w:cs="Traditional Arabic" w:hint="cs"/>
          <w:sz w:val="32"/>
          <w:szCs w:val="32"/>
          <w:rtl/>
        </w:rPr>
        <w:t xml:space="preserve">يتفق الطرازين </w:t>
      </w:r>
      <w:r>
        <w:rPr>
          <w:rFonts w:cs="Traditional Arabic" w:hint="cs"/>
          <w:sz w:val="32"/>
          <w:szCs w:val="32"/>
          <w:rtl/>
        </w:rPr>
        <w:t>في تسجيل شهادة التوحيد بعبارة "لا إله إلا الله" وعبارة "الأمر كله لله" و "لا قوة إلا بالله" بالوجه أما بالظهر عبارة "</w:t>
      </w:r>
      <w:r w:rsidRPr="00B02DA7">
        <w:rPr>
          <w:rFonts w:cs="Traditional Arabic" w:hint="cs"/>
          <w:sz w:val="32"/>
          <w:szCs w:val="32"/>
          <w:rtl/>
        </w:rPr>
        <w:t>الله</w:t>
      </w:r>
      <w:r>
        <w:rPr>
          <w:rFonts w:cs="Traditional Arabic" w:hint="cs"/>
          <w:sz w:val="32"/>
          <w:szCs w:val="32"/>
          <w:rtl/>
        </w:rPr>
        <w:t xml:space="preserve"> ربنا " و "محمد رسولنا " و "المهدي</w:t>
      </w:r>
      <w:r w:rsidRPr="00B02DA7">
        <w:rPr>
          <w:rFonts w:cs="Traditional Arabic" w:hint="cs"/>
          <w:sz w:val="32"/>
          <w:szCs w:val="32"/>
          <w:rtl/>
        </w:rPr>
        <w:t xml:space="preserve"> أمامنا ". وهذه العبارة الأخيرة تشير إلى مؤسس الدعوة </w:t>
      </w:r>
      <w:proofErr w:type="spellStart"/>
      <w:r w:rsidRPr="00B02DA7">
        <w:rPr>
          <w:rFonts w:cs="Traditional Arabic" w:hint="cs"/>
          <w:sz w:val="32"/>
          <w:szCs w:val="32"/>
          <w:rtl/>
        </w:rPr>
        <w:t>الموحدية</w:t>
      </w:r>
      <w:proofErr w:type="spellEnd"/>
      <w:r w:rsidRPr="00B02DA7">
        <w:rPr>
          <w:rFonts w:cs="Traditional Arabic" w:hint="cs"/>
          <w:sz w:val="32"/>
          <w:szCs w:val="32"/>
          <w:rtl/>
        </w:rPr>
        <w:t xml:space="preserve"> الفقيه أبو عبد الله محمد </w:t>
      </w:r>
      <w:proofErr w:type="spellStart"/>
      <w:r w:rsidRPr="00B02DA7">
        <w:rPr>
          <w:rFonts w:cs="Traditional Arabic" w:hint="cs"/>
          <w:sz w:val="32"/>
          <w:szCs w:val="32"/>
          <w:rtl/>
        </w:rPr>
        <w:t>تومرت</w:t>
      </w:r>
      <w:proofErr w:type="spellEnd"/>
      <w:r w:rsidRPr="00B02DA7">
        <w:rPr>
          <w:rFonts w:cs="Traditional Arabic" w:hint="cs"/>
          <w:sz w:val="32"/>
          <w:szCs w:val="32"/>
          <w:rtl/>
        </w:rPr>
        <w:t xml:space="preserve"> الذي لقب نفسه بالمهدي وكان غرضه من ذلك التأكيد على صحة الاعتقاد بما جاء في بعض الأحاديث. </w:t>
      </w:r>
    </w:p>
    <w:p w:rsidR="00E16355" w:rsidRPr="00B02DA7" w:rsidRDefault="00E16355" w:rsidP="00E16355">
      <w:pPr>
        <w:tabs>
          <w:tab w:val="right" w:pos="702"/>
        </w:tabs>
        <w:bidi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lastRenderedPageBreak/>
        <w:tab/>
      </w:r>
      <w:r>
        <w:rPr>
          <w:rFonts w:cs="Traditional Arabic" w:hint="cs"/>
          <w:sz w:val="32"/>
          <w:szCs w:val="32"/>
          <w:rtl/>
        </w:rPr>
        <w:tab/>
      </w:r>
      <w:r w:rsidRPr="00B02DA7">
        <w:rPr>
          <w:rFonts w:cs="Traditional Arabic" w:hint="cs"/>
          <w:sz w:val="32"/>
          <w:szCs w:val="32"/>
          <w:rtl/>
        </w:rPr>
        <w:t xml:space="preserve">وتتجلى أهمية الدراهم موضوع البحث في أنها ميزت بين نوعين من العملات </w:t>
      </w:r>
      <w:proofErr w:type="spellStart"/>
      <w:r w:rsidRPr="00B02DA7">
        <w:rPr>
          <w:rFonts w:cs="Traditional Arabic" w:hint="cs"/>
          <w:sz w:val="32"/>
          <w:szCs w:val="32"/>
          <w:rtl/>
        </w:rPr>
        <w:t>الموحدية</w:t>
      </w:r>
      <w:proofErr w:type="spellEnd"/>
      <w:r w:rsidRPr="00B02DA7">
        <w:rPr>
          <w:rFonts w:cs="Traditional Arabic" w:hint="cs"/>
          <w:sz w:val="32"/>
          <w:szCs w:val="32"/>
          <w:rtl/>
        </w:rPr>
        <w:t xml:space="preserve"> الأول اختيرت نقوشها بعناية كشكل من أشكال الإعلان الديني والنوع الثاني يمثله مجموعة العملات التي اختلف مضمون نقوشها عن نقوش تلك الدراهم من حيث الاسترسال في الكتابات الدينية والاقتباس القرآني.</w:t>
      </w:r>
    </w:p>
    <w:p w:rsidR="00E16355" w:rsidRDefault="00E16355" w:rsidP="00E16355">
      <w:pPr>
        <w:tabs>
          <w:tab w:val="right" w:pos="702"/>
        </w:tabs>
        <w:bidi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ab/>
      </w:r>
      <w:r>
        <w:rPr>
          <w:rFonts w:cs="Traditional Arabic" w:hint="cs"/>
          <w:sz w:val="32"/>
          <w:szCs w:val="32"/>
          <w:rtl/>
        </w:rPr>
        <w:tab/>
      </w:r>
      <w:r w:rsidRPr="00B02DA7">
        <w:rPr>
          <w:rFonts w:cs="Traditional Arabic" w:hint="cs"/>
          <w:sz w:val="32"/>
          <w:szCs w:val="32"/>
          <w:rtl/>
        </w:rPr>
        <w:t>وعلى أي</w:t>
      </w:r>
      <w:r>
        <w:rPr>
          <w:rFonts w:cs="Traditional Arabic" w:hint="cs"/>
          <w:sz w:val="32"/>
          <w:szCs w:val="32"/>
          <w:rtl/>
        </w:rPr>
        <w:t>ة حال فإنه في</w:t>
      </w:r>
      <w:r w:rsidRPr="00B02DA7">
        <w:rPr>
          <w:rFonts w:cs="Traditional Arabic" w:hint="cs"/>
          <w:sz w:val="32"/>
          <w:szCs w:val="32"/>
          <w:rtl/>
        </w:rPr>
        <w:t xml:space="preserve"> إطار دراسة الدراهم موضوع البحث من حيث الشكل والمضمون كان التركيز على ما تحتويه نقوش تلك الدراهم من دلالات دينية ومذهبية موضوع البحث.</w:t>
      </w:r>
    </w:p>
    <w:p w:rsidR="00E16355" w:rsidRPr="00B02DA7" w:rsidRDefault="00E16355" w:rsidP="00E16355">
      <w:pPr>
        <w:tabs>
          <w:tab w:val="right" w:pos="702"/>
        </w:tabs>
        <w:bidi/>
        <w:jc w:val="center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--------------------------</w:t>
      </w:r>
    </w:p>
    <w:p w:rsidR="001101A0" w:rsidRDefault="001101A0"/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6355"/>
    <w:rsid w:val="001101A0"/>
    <w:rsid w:val="00686264"/>
    <w:rsid w:val="00E1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55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Company>Bibliotheca Alexandrina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2009-02-23T14:17:00Z</dcterms:created>
  <dcterms:modified xsi:type="dcterms:W3CDTF">2009-02-23T14:17:00Z</dcterms:modified>
</cp:coreProperties>
</file>