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FA" w:rsidRPr="00164A54" w:rsidRDefault="004279FA" w:rsidP="004279FA">
      <w:pPr>
        <w:bidi/>
        <w:rPr>
          <w:rFonts w:cs="Traditional Arabic"/>
          <w:b/>
          <w:bCs/>
          <w:sz w:val="32"/>
          <w:szCs w:val="32"/>
          <w:rtl/>
        </w:rPr>
      </w:pPr>
      <w:proofErr w:type="gramStart"/>
      <w:r w:rsidRPr="00164A54">
        <w:rPr>
          <w:rFonts w:ascii="Calibri" w:eastAsia="Times New Roman" w:hAnsi="Calibri" w:cs="Traditional Arabic" w:hint="cs"/>
          <w:b/>
          <w:bCs/>
          <w:sz w:val="32"/>
          <w:szCs w:val="32"/>
          <w:rtl/>
        </w:rPr>
        <w:t>سهام</w:t>
      </w:r>
      <w:proofErr w:type="gramEnd"/>
      <w:r w:rsidRPr="00164A54">
        <w:rPr>
          <w:rFonts w:ascii="Calibri" w:eastAsia="Times New Roman" w:hAnsi="Calibri" w:cs="Traditional Arabic" w:hint="cs"/>
          <w:b/>
          <w:bCs/>
          <w:sz w:val="32"/>
          <w:szCs w:val="32"/>
          <w:rtl/>
        </w:rPr>
        <w:t xml:space="preserve"> المهدي</w:t>
      </w:r>
    </w:p>
    <w:p w:rsidR="004279FA" w:rsidRPr="00164A54" w:rsidRDefault="004279FA" w:rsidP="004279FA">
      <w:pPr>
        <w:bidi/>
        <w:rPr>
          <w:rFonts w:ascii="Calibri" w:eastAsia="Times New Roman" w:hAnsi="Calibri" w:cs="Traditional Arabic"/>
          <w:sz w:val="32"/>
          <w:szCs w:val="32"/>
          <w:rtl/>
        </w:rPr>
      </w:pPr>
      <w:r w:rsidRPr="00164A54">
        <w:rPr>
          <w:rFonts w:ascii="Calibri" w:eastAsia="Times New Roman" w:hAnsi="Calibri" w:cs="Traditional Arabic"/>
          <w:sz w:val="32"/>
          <w:szCs w:val="32"/>
          <w:rtl/>
        </w:rPr>
        <w:t>الوكيل الأسبق لمتحف الفن الإسلامي بالقاهرة</w:t>
      </w:r>
    </w:p>
    <w:p w:rsidR="004279FA" w:rsidRPr="00164A54" w:rsidRDefault="004279FA" w:rsidP="004279FA">
      <w:pPr>
        <w:bidi/>
        <w:rPr>
          <w:rFonts w:ascii="Calibri" w:eastAsia="Times New Roman" w:hAnsi="Calibri" w:cs="Traditional Arabic"/>
          <w:sz w:val="32"/>
          <w:szCs w:val="32"/>
          <w:rtl/>
        </w:rPr>
      </w:pPr>
    </w:p>
    <w:p w:rsidR="004279FA" w:rsidRPr="00164A54" w:rsidRDefault="004279FA" w:rsidP="004279FA">
      <w:pPr>
        <w:bidi/>
        <w:jc w:val="center"/>
        <w:rPr>
          <w:rFonts w:ascii="Calibri" w:eastAsia="Times New Roman" w:hAnsi="Calibri" w:cs="Traditional Arabic"/>
          <w:b/>
          <w:bCs/>
          <w:sz w:val="32"/>
          <w:szCs w:val="32"/>
          <w:rtl/>
        </w:rPr>
      </w:pPr>
      <w:r w:rsidRPr="00164A54">
        <w:rPr>
          <w:rFonts w:ascii="Calibri" w:eastAsia="Times New Roman" w:hAnsi="Calibri" w:cs="Traditional Arabic" w:hint="cs"/>
          <w:b/>
          <w:bCs/>
          <w:sz w:val="32"/>
          <w:szCs w:val="32"/>
          <w:rtl/>
        </w:rPr>
        <w:t>الكتابات على النقود في المغرب الإسلامي</w:t>
      </w:r>
    </w:p>
    <w:p w:rsidR="004279FA" w:rsidRPr="00164A54" w:rsidRDefault="004279FA" w:rsidP="004279FA">
      <w:pPr>
        <w:bidi/>
        <w:rPr>
          <w:rFonts w:ascii="Calibri" w:eastAsia="Times New Roman" w:hAnsi="Calibri" w:cs="Traditional Arabic"/>
          <w:b/>
          <w:bCs/>
          <w:sz w:val="32"/>
          <w:szCs w:val="32"/>
          <w:rtl/>
        </w:rPr>
      </w:pPr>
    </w:p>
    <w:p w:rsidR="004279FA" w:rsidRPr="00164A54" w:rsidRDefault="004279FA" w:rsidP="004279FA">
      <w:pPr>
        <w:bidi/>
        <w:ind w:firstLine="720"/>
        <w:jc w:val="both"/>
        <w:rPr>
          <w:rFonts w:ascii="Calibri" w:eastAsia="Times New Roman" w:hAnsi="Calibri" w:cs="Traditional Arabic"/>
          <w:sz w:val="32"/>
          <w:szCs w:val="32"/>
          <w:rtl/>
        </w:rPr>
      </w:pPr>
      <w:proofErr w:type="gramStart"/>
      <w:r w:rsidRPr="00164A54">
        <w:rPr>
          <w:rFonts w:ascii="Calibri" w:eastAsia="Times New Roman" w:hAnsi="Calibri" w:cs="Traditional Arabic" w:hint="cs"/>
          <w:sz w:val="32"/>
          <w:szCs w:val="32"/>
          <w:rtl/>
        </w:rPr>
        <w:t>يشمل</w:t>
      </w:r>
      <w:proofErr w:type="gramEnd"/>
      <w:r w:rsidRPr="00164A54">
        <w:rPr>
          <w:rFonts w:ascii="Calibri" w:eastAsia="Times New Roman" w:hAnsi="Calibri" w:cs="Traditional Arabic" w:hint="cs"/>
          <w:sz w:val="32"/>
          <w:szCs w:val="32"/>
          <w:rtl/>
        </w:rPr>
        <w:t xml:space="preserve"> البحث دراسة </w:t>
      </w:r>
      <w:proofErr w:type="spellStart"/>
      <w:r w:rsidRPr="00164A54">
        <w:rPr>
          <w:rFonts w:ascii="Calibri" w:eastAsia="Times New Roman" w:hAnsi="Calibri" w:cs="Traditional Arabic" w:hint="cs"/>
          <w:sz w:val="32"/>
          <w:szCs w:val="32"/>
          <w:rtl/>
        </w:rPr>
        <w:t>للمسكوكات</w:t>
      </w:r>
      <w:proofErr w:type="spellEnd"/>
      <w:r w:rsidRPr="00164A54">
        <w:rPr>
          <w:rFonts w:ascii="Calibri" w:eastAsia="Times New Roman" w:hAnsi="Calibri" w:cs="Traditional Arabic" w:hint="cs"/>
          <w:sz w:val="32"/>
          <w:szCs w:val="32"/>
          <w:rtl/>
        </w:rPr>
        <w:t xml:space="preserve"> المغربية من حيث الشكل والمضمون ويقوم على محورين:</w:t>
      </w:r>
    </w:p>
    <w:p w:rsidR="004279FA" w:rsidRPr="00164A54" w:rsidRDefault="004279FA" w:rsidP="004279FA">
      <w:pPr>
        <w:bidi/>
        <w:jc w:val="both"/>
        <w:rPr>
          <w:rFonts w:ascii="Calibri" w:eastAsia="Times New Roman" w:hAnsi="Calibri" w:cs="Traditional Arabic"/>
          <w:sz w:val="32"/>
          <w:szCs w:val="32"/>
          <w:rtl/>
        </w:rPr>
      </w:pPr>
      <w:proofErr w:type="gramStart"/>
      <w:r w:rsidRPr="00164A54">
        <w:rPr>
          <w:rFonts w:ascii="Calibri" w:eastAsia="Times New Roman" w:hAnsi="Calibri" w:cs="Traditional Arabic" w:hint="cs"/>
          <w:sz w:val="32"/>
          <w:szCs w:val="32"/>
          <w:rtl/>
        </w:rPr>
        <w:t>الأول</w:t>
      </w:r>
      <w:proofErr w:type="gramEnd"/>
      <w:r w:rsidRPr="00164A54">
        <w:rPr>
          <w:rFonts w:ascii="Calibri" w:eastAsia="Times New Roman" w:hAnsi="Calibri" w:cs="Traditional Arabic" w:hint="cs"/>
          <w:sz w:val="32"/>
          <w:szCs w:val="32"/>
          <w:rtl/>
        </w:rPr>
        <w:t xml:space="preserve">: دراسة الكتابات من حيث الخط وتطوره على النقود المغربية حيث اختلفت في شكلها وأنواعها عن النقود المشرقية. </w:t>
      </w:r>
    </w:p>
    <w:p w:rsidR="004279FA" w:rsidRPr="00164A54" w:rsidRDefault="004279FA" w:rsidP="004279FA">
      <w:pPr>
        <w:bidi/>
        <w:jc w:val="both"/>
        <w:rPr>
          <w:rFonts w:ascii="Calibri" w:eastAsia="Times New Roman" w:hAnsi="Calibri" w:cs="Traditional Arabic"/>
          <w:sz w:val="32"/>
          <w:szCs w:val="32"/>
          <w:rtl/>
        </w:rPr>
      </w:pPr>
      <w:r w:rsidRPr="00164A54">
        <w:rPr>
          <w:rFonts w:ascii="Calibri" w:eastAsia="Times New Roman" w:hAnsi="Calibri" w:cs="Traditional Arabic" w:hint="cs"/>
          <w:sz w:val="32"/>
          <w:szCs w:val="32"/>
          <w:rtl/>
        </w:rPr>
        <w:t>الثاني: دراسة الكتابات من حيث المضمون، حيث أوضحت الشعارات والمذاهب للدول الحاكمة ودورها الجهادي سواء في إصلاح الدين أو الجهاد ضد الأعداء ومساعدة جيرانها لصد عدوانهم، كما ساعدت الألقاب والأدعية التي اتخذها الحكام في ترسيخ هذا الدور والتعبير عن الظروف السياسية كنظام الحكم وتولية العهد والفرق بين أمير المؤمنين وأمير المسلمين فضلا عن الزعامات الدينية وعلاقتها بالخلافة العباسية أو ادعاء الخلافة والإمامة.</w:t>
      </w:r>
    </w:p>
    <w:p w:rsidR="004279FA" w:rsidRPr="00164A54" w:rsidRDefault="004279FA" w:rsidP="004279FA">
      <w:pPr>
        <w:bidi/>
        <w:jc w:val="center"/>
        <w:rPr>
          <w:rFonts w:ascii="Calibri" w:eastAsia="Times New Roman" w:hAnsi="Calibri" w:cs="Traditional Arabic"/>
          <w:sz w:val="32"/>
          <w:szCs w:val="32"/>
          <w:rtl/>
        </w:rPr>
      </w:pPr>
      <w:r w:rsidRPr="00164A54">
        <w:rPr>
          <w:rFonts w:ascii="Calibri" w:eastAsia="Times New Roman" w:hAnsi="Calibri" w:cs="Traditional Arabic" w:hint="cs"/>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79FA"/>
    <w:rsid w:val="001101A0"/>
    <w:rsid w:val="004279FA"/>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FA"/>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Company>Bibliotheca Alexandrina</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2009-02-23T13:58:00Z</dcterms:created>
  <dcterms:modified xsi:type="dcterms:W3CDTF">2009-02-23T13:58:00Z</dcterms:modified>
</cp:coreProperties>
</file>