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93" w:rsidRDefault="00821093" w:rsidP="00821093">
      <w:pPr>
        <w:tabs>
          <w:tab w:val="right" w:pos="702"/>
        </w:tabs>
        <w:bidi/>
        <w:jc w:val="both"/>
        <w:rPr>
          <w:rFonts w:cs="Traditional Arabic" w:hint="cs"/>
          <w:b/>
          <w:bCs/>
          <w:sz w:val="32"/>
          <w:szCs w:val="32"/>
          <w:rtl/>
          <w:lang w:bidi="ar-EG"/>
        </w:rPr>
      </w:pPr>
      <w:r w:rsidRPr="001E680B">
        <w:rPr>
          <w:rFonts w:cs="Traditional Arabic" w:hint="cs"/>
          <w:b/>
          <w:bCs/>
          <w:sz w:val="32"/>
          <w:szCs w:val="32"/>
          <w:rtl/>
          <w:lang w:bidi="ar-EG"/>
        </w:rPr>
        <w:t xml:space="preserve">قدريه </w:t>
      </w:r>
      <w:proofErr w:type="gramStart"/>
      <w:r w:rsidRPr="001E680B">
        <w:rPr>
          <w:rFonts w:cs="Traditional Arabic" w:hint="cs"/>
          <w:b/>
          <w:bCs/>
          <w:sz w:val="32"/>
          <w:szCs w:val="32"/>
          <w:rtl/>
          <w:lang w:bidi="ar-EG"/>
        </w:rPr>
        <w:t>توكل</w:t>
      </w:r>
      <w:proofErr w:type="gramEnd"/>
    </w:p>
    <w:p w:rsidR="00821093" w:rsidRPr="001E680B" w:rsidRDefault="00821093" w:rsidP="00821093">
      <w:pPr>
        <w:tabs>
          <w:tab w:val="right" w:pos="702"/>
        </w:tabs>
        <w:bidi/>
        <w:jc w:val="both"/>
        <w:rPr>
          <w:rFonts w:cs="Traditional Arabic" w:hint="cs"/>
          <w:sz w:val="32"/>
          <w:szCs w:val="32"/>
          <w:rtl/>
          <w:lang w:bidi="ar-EG"/>
        </w:rPr>
      </w:pPr>
      <w:r w:rsidRPr="001E680B">
        <w:rPr>
          <w:rFonts w:cs="Traditional Arabic" w:hint="cs"/>
          <w:sz w:val="32"/>
          <w:szCs w:val="32"/>
          <w:rtl/>
          <w:lang w:bidi="ar-EG"/>
        </w:rPr>
        <w:t xml:space="preserve">كلية الآثار </w:t>
      </w:r>
      <w:r w:rsidRPr="001E680B">
        <w:rPr>
          <w:rFonts w:cs="Traditional Arabic"/>
          <w:sz w:val="32"/>
          <w:szCs w:val="32"/>
          <w:rtl/>
          <w:lang w:bidi="ar-EG"/>
        </w:rPr>
        <w:t>–</w:t>
      </w:r>
      <w:r w:rsidRPr="001E680B">
        <w:rPr>
          <w:rFonts w:cs="Traditional Arabic" w:hint="cs"/>
          <w:sz w:val="32"/>
          <w:szCs w:val="32"/>
          <w:rtl/>
          <w:lang w:bidi="ar-EG"/>
        </w:rPr>
        <w:t xml:space="preserve"> جامعة القاهرة</w:t>
      </w:r>
    </w:p>
    <w:p w:rsidR="00821093" w:rsidRPr="001E680B" w:rsidRDefault="00821093" w:rsidP="00821093">
      <w:pPr>
        <w:tabs>
          <w:tab w:val="right" w:pos="702"/>
        </w:tabs>
        <w:bidi/>
        <w:jc w:val="both"/>
        <w:rPr>
          <w:rFonts w:cs="Traditional Arabic"/>
          <w:b/>
          <w:bCs/>
          <w:sz w:val="32"/>
          <w:szCs w:val="32"/>
          <w:rtl/>
          <w:lang w:bidi="ar-EG"/>
        </w:rPr>
      </w:pPr>
    </w:p>
    <w:p w:rsidR="00821093" w:rsidRPr="001E680B" w:rsidRDefault="00821093" w:rsidP="00821093">
      <w:pPr>
        <w:tabs>
          <w:tab w:val="right" w:pos="702"/>
        </w:tabs>
        <w:bidi/>
        <w:jc w:val="center"/>
        <w:rPr>
          <w:rFonts w:cs="Traditional Arabic"/>
          <w:b/>
          <w:bCs/>
          <w:sz w:val="32"/>
          <w:szCs w:val="32"/>
          <w:rtl/>
          <w:lang w:bidi="ar-EG"/>
        </w:rPr>
      </w:pPr>
      <w:r w:rsidRPr="001E680B">
        <w:rPr>
          <w:rFonts w:cs="Traditional Arabic" w:hint="cs"/>
          <w:b/>
          <w:bCs/>
          <w:sz w:val="32"/>
          <w:szCs w:val="32"/>
          <w:rtl/>
          <w:lang w:bidi="ar-EG"/>
        </w:rPr>
        <w:t xml:space="preserve">النقود النحاسية العرفية بالشام </w:t>
      </w:r>
      <w:r>
        <w:rPr>
          <w:rFonts w:cs="Traditional Arabic" w:hint="cs"/>
          <w:b/>
          <w:bCs/>
          <w:sz w:val="32"/>
          <w:szCs w:val="32"/>
          <w:rtl/>
          <w:lang w:bidi="ar-EG"/>
        </w:rPr>
        <w:t>"</w:t>
      </w:r>
      <w:proofErr w:type="gramStart"/>
      <w:r>
        <w:rPr>
          <w:rFonts w:cs="Traditional Arabic" w:hint="cs"/>
          <w:b/>
          <w:bCs/>
          <w:sz w:val="32"/>
          <w:szCs w:val="32"/>
          <w:rtl/>
          <w:lang w:bidi="ar-EG"/>
        </w:rPr>
        <w:t>العصر</w:t>
      </w:r>
      <w:proofErr w:type="gramEnd"/>
      <w:r>
        <w:rPr>
          <w:rFonts w:cs="Traditional Arabic" w:hint="cs"/>
          <w:b/>
          <w:bCs/>
          <w:sz w:val="32"/>
          <w:szCs w:val="32"/>
          <w:rtl/>
          <w:lang w:bidi="ar-EG"/>
        </w:rPr>
        <w:t xml:space="preserve"> الأموي</w:t>
      </w:r>
      <w:r w:rsidRPr="001E680B">
        <w:rPr>
          <w:rFonts w:cs="Traditional Arabic" w:hint="cs"/>
          <w:b/>
          <w:bCs/>
          <w:sz w:val="32"/>
          <w:szCs w:val="32"/>
          <w:rtl/>
          <w:lang w:bidi="ar-EG"/>
        </w:rPr>
        <w:t>"</w:t>
      </w:r>
    </w:p>
    <w:p w:rsidR="00821093" w:rsidRPr="001E680B" w:rsidRDefault="00821093" w:rsidP="00821093">
      <w:pPr>
        <w:tabs>
          <w:tab w:val="right" w:pos="702"/>
        </w:tabs>
        <w:bidi/>
        <w:jc w:val="both"/>
        <w:rPr>
          <w:rFonts w:cs="Traditional Arabic"/>
          <w:b/>
          <w:bCs/>
          <w:sz w:val="32"/>
          <w:szCs w:val="32"/>
          <w:rtl/>
          <w:lang w:bidi="ar-EG"/>
        </w:rPr>
      </w:pPr>
      <w:r w:rsidRPr="001E680B">
        <w:rPr>
          <w:rFonts w:cs="Traditional Arabic" w:hint="cs"/>
          <w:sz w:val="32"/>
          <w:szCs w:val="32"/>
          <w:rtl/>
          <w:lang w:bidi="ar-EG"/>
        </w:rPr>
        <w:t xml:space="preserve"> يوجد نوعان من النقود النحاسية</w:t>
      </w:r>
      <w:r>
        <w:rPr>
          <w:rFonts w:cs="Traditional Arabic" w:hint="cs"/>
          <w:sz w:val="32"/>
          <w:szCs w:val="32"/>
          <w:rtl/>
          <w:lang w:bidi="ar-EG"/>
        </w:rPr>
        <w:t xml:space="preserve"> في العصر الأموي</w:t>
      </w:r>
      <w:r w:rsidRPr="001E680B">
        <w:rPr>
          <w:rFonts w:cs="Traditional Arabic" w:hint="cs"/>
          <w:sz w:val="32"/>
          <w:szCs w:val="32"/>
          <w:rtl/>
          <w:lang w:bidi="ar-EG"/>
        </w:rPr>
        <w:t xml:space="preserve"> قبل تعريب عبد الملك بن مروان للنقود</w:t>
      </w:r>
      <w:r>
        <w:rPr>
          <w:rFonts w:cs="Traditional Arabic" w:hint="cs"/>
          <w:sz w:val="32"/>
          <w:szCs w:val="32"/>
          <w:rtl/>
          <w:lang w:bidi="ar-EG"/>
        </w:rPr>
        <w:t>.</w:t>
      </w:r>
    </w:p>
    <w:p w:rsidR="00821093" w:rsidRPr="001E680B" w:rsidRDefault="00821093" w:rsidP="00821093">
      <w:pPr>
        <w:tabs>
          <w:tab w:val="right" w:pos="702"/>
        </w:tabs>
        <w:bidi/>
        <w:jc w:val="both"/>
        <w:rPr>
          <w:rFonts w:cs="Traditional Arabic"/>
          <w:b/>
          <w:bCs/>
          <w:sz w:val="32"/>
          <w:szCs w:val="32"/>
          <w:u w:val="single"/>
          <w:rtl/>
          <w:lang w:bidi="ar-EG"/>
        </w:rPr>
      </w:pPr>
      <w:proofErr w:type="gramStart"/>
      <w:r w:rsidRPr="001E680B">
        <w:rPr>
          <w:rFonts w:cs="Traditional Arabic" w:hint="cs"/>
          <w:b/>
          <w:bCs/>
          <w:sz w:val="32"/>
          <w:szCs w:val="32"/>
          <w:u w:val="single"/>
          <w:rtl/>
          <w:lang w:bidi="ar-EG"/>
        </w:rPr>
        <w:t>النوع</w:t>
      </w:r>
      <w:proofErr w:type="gramEnd"/>
      <w:r w:rsidRPr="001E680B">
        <w:rPr>
          <w:rFonts w:cs="Traditional Arabic" w:hint="cs"/>
          <w:b/>
          <w:bCs/>
          <w:sz w:val="32"/>
          <w:szCs w:val="32"/>
          <w:u w:val="single"/>
          <w:rtl/>
          <w:lang w:bidi="ar-EG"/>
        </w:rPr>
        <w:t xml:space="preserve"> الأول:</w:t>
      </w:r>
    </w:p>
    <w:p w:rsidR="00821093" w:rsidRPr="001E680B" w:rsidRDefault="00821093" w:rsidP="00821093">
      <w:pPr>
        <w:tabs>
          <w:tab w:val="right" w:pos="702"/>
        </w:tabs>
        <w:bidi/>
        <w:jc w:val="both"/>
        <w:rPr>
          <w:rFonts w:cs="Traditional Arabic"/>
          <w:b/>
          <w:bCs/>
          <w:sz w:val="32"/>
          <w:szCs w:val="32"/>
          <w:u w:val="single"/>
          <w:rtl/>
          <w:lang w:bidi="ar-EG"/>
        </w:rPr>
      </w:pPr>
      <w:r w:rsidRPr="001E680B">
        <w:rPr>
          <w:rFonts w:cs="Traditional Arabic" w:hint="cs"/>
          <w:sz w:val="32"/>
          <w:szCs w:val="32"/>
          <w:rtl/>
          <w:lang w:bidi="ar-EG"/>
        </w:rPr>
        <w:t xml:space="preserve">  </w:t>
      </w:r>
      <w:proofErr w:type="gramStart"/>
      <w:r w:rsidRPr="001E680B">
        <w:rPr>
          <w:rFonts w:cs="Traditional Arabic" w:hint="cs"/>
          <w:sz w:val="32"/>
          <w:szCs w:val="32"/>
          <w:rtl/>
          <w:lang w:bidi="ar-EG"/>
        </w:rPr>
        <w:t>يسير</w:t>
      </w:r>
      <w:proofErr w:type="gramEnd"/>
      <w:r w:rsidRPr="001E680B">
        <w:rPr>
          <w:rFonts w:cs="Traditional Arabic" w:hint="cs"/>
          <w:sz w:val="32"/>
          <w:szCs w:val="32"/>
          <w:rtl/>
          <w:lang w:bidi="ar-EG"/>
        </w:rPr>
        <w:t xml:space="preserve"> على النمط البيزنطي وأجريت عليه بعض التعديلات التي اشتملت على إخفاء الرموز المسيحية وإضافة كلمات عربيه تشير</w:t>
      </w:r>
      <w:r>
        <w:rPr>
          <w:rFonts w:cs="Traditional Arabic" w:hint="cs"/>
          <w:sz w:val="32"/>
          <w:szCs w:val="32"/>
          <w:rtl/>
          <w:lang w:bidi="ar-EG"/>
        </w:rPr>
        <w:t xml:space="preserve"> </w:t>
      </w:r>
      <w:r w:rsidRPr="001E680B">
        <w:rPr>
          <w:rFonts w:cs="Traditional Arabic" w:hint="cs"/>
          <w:sz w:val="32"/>
          <w:szCs w:val="32"/>
          <w:rtl/>
          <w:lang w:bidi="ar-EG"/>
        </w:rPr>
        <w:t>إلى دار</w:t>
      </w:r>
      <w:r>
        <w:rPr>
          <w:rFonts w:cs="Traditional Arabic" w:hint="cs"/>
          <w:sz w:val="32"/>
          <w:szCs w:val="32"/>
          <w:rtl/>
          <w:lang w:bidi="ar-EG"/>
        </w:rPr>
        <w:t xml:space="preserve"> </w:t>
      </w:r>
      <w:r w:rsidRPr="001E680B">
        <w:rPr>
          <w:rFonts w:cs="Traditional Arabic" w:hint="cs"/>
          <w:sz w:val="32"/>
          <w:szCs w:val="32"/>
          <w:rtl/>
          <w:lang w:bidi="ar-EG"/>
        </w:rPr>
        <w:t>السك أو إلى جواز التداول.</w:t>
      </w:r>
    </w:p>
    <w:p w:rsidR="00821093" w:rsidRPr="001E680B" w:rsidRDefault="00821093" w:rsidP="00821093">
      <w:pPr>
        <w:tabs>
          <w:tab w:val="right" w:pos="702"/>
        </w:tabs>
        <w:bidi/>
        <w:jc w:val="both"/>
        <w:rPr>
          <w:rFonts w:cs="Traditional Arabic"/>
          <w:b/>
          <w:bCs/>
          <w:sz w:val="32"/>
          <w:szCs w:val="32"/>
          <w:u w:val="single"/>
          <w:rtl/>
          <w:lang w:bidi="ar-EG"/>
        </w:rPr>
      </w:pPr>
      <w:r w:rsidRPr="001E680B">
        <w:rPr>
          <w:rFonts w:cs="Traditional Arabic" w:hint="cs"/>
          <w:b/>
          <w:bCs/>
          <w:sz w:val="32"/>
          <w:szCs w:val="32"/>
          <w:u w:val="single"/>
          <w:rtl/>
          <w:lang w:bidi="ar-EG"/>
        </w:rPr>
        <w:t xml:space="preserve">   </w:t>
      </w:r>
      <w:proofErr w:type="gramStart"/>
      <w:r w:rsidRPr="001E680B">
        <w:rPr>
          <w:rFonts w:cs="Traditional Arabic" w:hint="cs"/>
          <w:b/>
          <w:bCs/>
          <w:sz w:val="32"/>
          <w:szCs w:val="32"/>
          <w:u w:val="single"/>
          <w:rtl/>
          <w:lang w:bidi="ar-EG"/>
        </w:rPr>
        <w:t>النوع</w:t>
      </w:r>
      <w:proofErr w:type="gramEnd"/>
      <w:r w:rsidRPr="001E680B">
        <w:rPr>
          <w:rFonts w:cs="Traditional Arabic" w:hint="cs"/>
          <w:b/>
          <w:bCs/>
          <w:sz w:val="32"/>
          <w:szCs w:val="32"/>
          <w:u w:val="single"/>
          <w:rtl/>
          <w:lang w:bidi="ar-EG"/>
        </w:rPr>
        <w:t xml:space="preserve"> الثاني:</w:t>
      </w:r>
    </w:p>
    <w:p w:rsidR="00821093" w:rsidRPr="001E680B" w:rsidRDefault="00821093" w:rsidP="00821093">
      <w:pPr>
        <w:tabs>
          <w:tab w:val="right" w:pos="702"/>
        </w:tabs>
        <w:bidi/>
        <w:jc w:val="both"/>
        <w:rPr>
          <w:rFonts w:cs="Traditional Arabic"/>
          <w:sz w:val="32"/>
          <w:szCs w:val="32"/>
          <w:rtl/>
          <w:lang w:bidi="ar-EG"/>
        </w:rPr>
      </w:pPr>
      <w:r w:rsidRPr="001E680B">
        <w:rPr>
          <w:rFonts w:cs="Traditional Arabic" w:hint="cs"/>
          <w:sz w:val="32"/>
          <w:szCs w:val="32"/>
          <w:rtl/>
          <w:lang w:bidi="ar-EG"/>
        </w:rPr>
        <w:t xml:space="preserve">  نقود عرفيه عليها صور لحيوانات أو طيور أو زهور ويناقش البحث هذا النوع الأخير ودلالات ظهوره في هذه الفترة سواء إذا كان قد سك في دار الضرب لتلبية احتياجات المستهلكين في الأسواق لعملات أقل من فئة 40 نميا التي كانت تضرب في بلا د الشام أو كانت نقودا عرفيه قام النحاسون بسكها لتلبية احتياجات الأسواق لفئات نقدية أقل من التي كانت دار الضرب تسكها.</w:t>
      </w:r>
    </w:p>
    <w:p w:rsidR="00821093" w:rsidRDefault="00821093" w:rsidP="00821093">
      <w:pPr>
        <w:tabs>
          <w:tab w:val="right" w:pos="702"/>
        </w:tabs>
        <w:bidi/>
        <w:jc w:val="both"/>
        <w:rPr>
          <w:rFonts w:cs="Traditional Arabic" w:hint="cs"/>
          <w:sz w:val="32"/>
          <w:szCs w:val="32"/>
          <w:rtl/>
          <w:lang w:bidi="ar-EG"/>
        </w:rPr>
      </w:pPr>
      <w:r w:rsidRPr="001E680B">
        <w:rPr>
          <w:rFonts w:cs="Traditional Arabic" w:hint="cs"/>
          <w:sz w:val="32"/>
          <w:szCs w:val="32"/>
          <w:rtl/>
          <w:lang w:bidi="ar-EG"/>
        </w:rPr>
        <w:t xml:space="preserve"> وسيتطرق البحث إلى دلالات الصور التي وردت على هذا النوع من النقود.</w:t>
      </w:r>
    </w:p>
    <w:p w:rsidR="00821093" w:rsidRDefault="00821093" w:rsidP="00821093">
      <w:pPr>
        <w:tabs>
          <w:tab w:val="right" w:pos="702"/>
        </w:tabs>
        <w:bidi/>
        <w:jc w:val="both"/>
        <w:rPr>
          <w:rFonts w:cs="Traditional Arabic" w:hint="cs"/>
          <w:sz w:val="32"/>
          <w:szCs w:val="32"/>
          <w:rtl/>
          <w:lang w:bidi="ar-EG"/>
        </w:rPr>
      </w:pPr>
    </w:p>
    <w:p w:rsidR="00821093" w:rsidRDefault="00821093" w:rsidP="00821093">
      <w:pPr>
        <w:tabs>
          <w:tab w:val="right" w:pos="702"/>
        </w:tabs>
        <w:bidi/>
        <w:jc w:val="both"/>
        <w:rPr>
          <w:rFonts w:cs="Traditional Arabic" w:hint="cs"/>
          <w:sz w:val="32"/>
          <w:szCs w:val="32"/>
          <w:rtl/>
          <w:lang w:bidi="ar-EG"/>
        </w:rPr>
      </w:pPr>
    </w:p>
    <w:p w:rsidR="00821093" w:rsidRDefault="00821093" w:rsidP="00821093">
      <w:pPr>
        <w:tabs>
          <w:tab w:val="right" w:pos="702"/>
        </w:tabs>
        <w:bidi/>
        <w:jc w:val="both"/>
        <w:rPr>
          <w:rFonts w:cs="Traditional Arabic" w:hint="cs"/>
          <w:sz w:val="32"/>
          <w:szCs w:val="32"/>
          <w:rtl/>
          <w:lang w:bidi="ar-EG"/>
        </w:rPr>
      </w:pPr>
    </w:p>
    <w:p w:rsidR="00821093" w:rsidRDefault="00821093" w:rsidP="00821093">
      <w:pPr>
        <w:tabs>
          <w:tab w:val="right" w:pos="702"/>
        </w:tabs>
        <w:bidi/>
        <w:jc w:val="both"/>
        <w:rPr>
          <w:rFonts w:cs="Traditional Arabic" w:hint="cs"/>
          <w:sz w:val="32"/>
          <w:szCs w:val="32"/>
          <w:rtl/>
          <w:lang w:bidi="ar-EG"/>
        </w:rPr>
      </w:pPr>
    </w:p>
    <w:p w:rsidR="001101A0" w:rsidRDefault="001101A0">
      <w:pPr>
        <w:rPr>
          <w:lang w:bidi="ar-EG"/>
        </w:rPr>
      </w:pP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1093"/>
    <w:rsid w:val="001101A0"/>
    <w:rsid w:val="002565BB"/>
    <w:rsid w:val="008210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93"/>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648</Characters>
  <Application>Microsoft Office Word</Application>
  <DocSecurity>0</DocSecurity>
  <Lines>5</Lines>
  <Paragraphs>1</Paragraphs>
  <ScaleCrop>false</ScaleCrop>
  <Company>Bibliotheca Alexandrina</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2009-03-10T11:30:00Z</dcterms:created>
  <dcterms:modified xsi:type="dcterms:W3CDTF">2009-03-10T11:30:00Z</dcterms:modified>
</cp:coreProperties>
</file>