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32A" w:rsidRPr="005C2BFE" w:rsidRDefault="0044732A" w:rsidP="0044732A">
      <w:pPr>
        <w:bidi/>
        <w:spacing w:line="240" w:lineRule="auto"/>
        <w:jc w:val="both"/>
        <w:rPr>
          <w:rFonts w:cs="Traditional Arabic"/>
          <w:b/>
          <w:bCs/>
          <w:sz w:val="32"/>
          <w:szCs w:val="32"/>
          <w:rtl/>
        </w:rPr>
      </w:pPr>
      <w:r w:rsidRPr="005C2BFE">
        <w:rPr>
          <w:rFonts w:cs="Traditional Arabic" w:hint="cs"/>
          <w:b/>
          <w:bCs/>
          <w:sz w:val="32"/>
          <w:szCs w:val="32"/>
          <w:rtl/>
        </w:rPr>
        <w:t xml:space="preserve">محمد حسن </w:t>
      </w:r>
    </w:p>
    <w:p w:rsidR="0044732A" w:rsidRDefault="0044732A" w:rsidP="0044732A">
      <w:pPr>
        <w:bidi/>
        <w:spacing w:line="240" w:lineRule="auto"/>
        <w:jc w:val="both"/>
        <w:rPr>
          <w:rFonts w:cs="Traditional Arabic" w:hint="cs"/>
          <w:sz w:val="32"/>
          <w:szCs w:val="32"/>
          <w:rtl/>
        </w:rPr>
      </w:pPr>
      <w:r w:rsidRPr="005C2BFE">
        <w:rPr>
          <w:rFonts w:cs="Traditional Arabic" w:hint="cs"/>
          <w:sz w:val="32"/>
          <w:szCs w:val="32"/>
          <w:rtl/>
        </w:rPr>
        <w:t xml:space="preserve">مركز الخطوط </w:t>
      </w:r>
      <w:r w:rsidRPr="005C2BFE">
        <w:rPr>
          <w:rFonts w:cs="Traditional Arabic"/>
          <w:sz w:val="32"/>
          <w:szCs w:val="32"/>
          <w:rtl/>
        </w:rPr>
        <w:t>–</w:t>
      </w:r>
      <w:r w:rsidRPr="005C2BFE">
        <w:rPr>
          <w:rFonts w:cs="Traditional Arabic" w:hint="cs"/>
          <w:sz w:val="32"/>
          <w:szCs w:val="32"/>
          <w:rtl/>
        </w:rPr>
        <w:t xml:space="preserve"> مكتبة الإسكندرية</w:t>
      </w:r>
    </w:p>
    <w:p w:rsidR="0044732A" w:rsidRPr="005C2BFE" w:rsidRDefault="0044732A" w:rsidP="0044732A">
      <w:pPr>
        <w:bidi/>
        <w:spacing w:line="240" w:lineRule="auto"/>
        <w:jc w:val="both"/>
        <w:rPr>
          <w:rFonts w:cs="Traditional Arabic" w:hint="cs"/>
          <w:sz w:val="32"/>
          <w:szCs w:val="32"/>
          <w:rtl/>
        </w:rPr>
      </w:pPr>
    </w:p>
    <w:p w:rsidR="0044732A" w:rsidRPr="005C2BFE" w:rsidRDefault="0044732A" w:rsidP="0044732A">
      <w:pPr>
        <w:bidi/>
        <w:spacing w:line="240" w:lineRule="auto"/>
        <w:ind w:firstLine="720"/>
        <w:jc w:val="center"/>
        <w:rPr>
          <w:rFonts w:cs="Traditional Arabic"/>
          <w:b/>
          <w:bCs/>
          <w:sz w:val="32"/>
          <w:szCs w:val="32"/>
          <w:rtl/>
        </w:rPr>
      </w:pPr>
      <w:r w:rsidRPr="005C2BFE">
        <w:rPr>
          <w:rFonts w:cs="Traditional Arabic" w:hint="cs"/>
          <w:b/>
          <w:bCs/>
          <w:sz w:val="32"/>
          <w:szCs w:val="32"/>
          <w:rtl/>
        </w:rPr>
        <w:t>خطاطي العملة الورقية المصرية</w:t>
      </w:r>
    </w:p>
    <w:p w:rsidR="0044732A" w:rsidRPr="005C2BFE" w:rsidRDefault="0044732A" w:rsidP="0044732A">
      <w:pPr>
        <w:bidi/>
        <w:spacing w:line="240" w:lineRule="auto"/>
        <w:ind w:firstLine="720"/>
        <w:jc w:val="center"/>
        <w:rPr>
          <w:rFonts w:cs="Traditional Arabic"/>
          <w:b/>
          <w:bCs/>
          <w:sz w:val="32"/>
          <w:szCs w:val="32"/>
          <w:rtl/>
        </w:rPr>
      </w:pPr>
      <w:r w:rsidRPr="005C2BFE">
        <w:rPr>
          <w:rFonts w:cs="Traditional Arabic" w:hint="cs"/>
          <w:b/>
          <w:bCs/>
          <w:sz w:val="32"/>
          <w:szCs w:val="32"/>
          <w:rtl/>
        </w:rPr>
        <w:t>(1899-1976م)</w:t>
      </w:r>
    </w:p>
    <w:p w:rsidR="0044732A" w:rsidRPr="005C2BFE" w:rsidRDefault="0044732A" w:rsidP="0044732A">
      <w:pPr>
        <w:bidi/>
        <w:spacing w:line="240" w:lineRule="auto"/>
        <w:ind w:firstLine="720"/>
        <w:jc w:val="center"/>
        <w:rPr>
          <w:rFonts w:cs="Traditional Arabic"/>
          <w:sz w:val="32"/>
          <w:szCs w:val="32"/>
          <w:rtl/>
        </w:rPr>
      </w:pPr>
      <w:r w:rsidRPr="005C2BFE">
        <w:rPr>
          <w:rFonts w:cs="Traditional Arabic" w:hint="cs"/>
          <w:sz w:val="32"/>
          <w:szCs w:val="32"/>
          <w:rtl/>
        </w:rPr>
        <w:t>"</w:t>
      </w:r>
      <w:proofErr w:type="gramStart"/>
      <w:r w:rsidRPr="005C2BFE">
        <w:rPr>
          <w:rFonts w:cs="Traditional Arabic" w:hint="cs"/>
          <w:sz w:val="32"/>
          <w:szCs w:val="32"/>
          <w:rtl/>
        </w:rPr>
        <w:t>دراسة</w:t>
      </w:r>
      <w:proofErr w:type="gramEnd"/>
      <w:r w:rsidRPr="005C2BFE">
        <w:rPr>
          <w:rFonts w:cs="Traditional Arabic" w:hint="cs"/>
          <w:sz w:val="32"/>
          <w:szCs w:val="32"/>
          <w:rtl/>
        </w:rPr>
        <w:t xml:space="preserve"> تاريخية فنية"</w:t>
      </w:r>
      <w:r w:rsidRPr="005C2BFE">
        <w:rPr>
          <w:rFonts w:cs="Traditional Arabic" w:hint="cs"/>
          <w:b/>
          <w:bCs/>
          <w:sz w:val="32"/>
          <w:szCs w:val="32"/>
          <w:rtl/>
        </w:rPr>
        <w:t xml:space="preserve">                                                                         </w:t>
      </w:r>
    </w:p>
    <w:p w:rsidR="0044732A" w:rsidRPr="005C2BFE" w:rsidRDefault="0044732A" w:rsidP="0044732A">
      <w:pPr>
        <w:bidi/>
        <w:spacing w:line="240" w:lineRule="auto"/>
        <w:ind w:firstLine="720"/>
        <w:jc w:val="both"/>
        <w:rPr>
          <w:rFonts w:cs="Traditional Arabic"/>
          <w:sz w:val="32"/>
          <w:szCs w:val="32"/>
          <w:rtl/>
        </w:rPr>
      </w:pPr>
      <w:r w:rsidRPr="005C2BFE">
        <w:rPr>
          <w:rFonts w:cs="Traditional Arabic" w:hint="cs"/>
          <w:sz w:val="32"/>
          <w:szCs w:val="32"/>
          <w:rtl/>
        </w:rPr>
        <w:t>تلعب العملة في أي بلد دورًا أساسيًا في الاقتصاد، بل هي عماد الحركة المالية؛ وهي أيضًا المحرك الفاعل والرئيس لتقدم تلك البلدان، لكن جانب هامًا يتعلق بتاريخ العملة، لم يُدرس الدراسة المثلىَّ، وذلك الجانب هو التشكيلي والفني لها -خصوصًا في العصر الحديث- وعمومًا فأن مثل هذه الأبحاث تستلزم معرفة بالتاريخ السياسي والحضاري لتلك الفترة، وأيضًا إلمام بالتيارات الفنية التي انتشرت في تلك الفترة.</w:t>
      </w:r>
    </w:p>
    <w:p w:rsidR="0044732A" w:rsidRPr="005C2BFE" w:rsidRDefault="0044732A" w:rsidP="0044732A">
      <w:pPr>
        <w:bidi/>
        <w:spacing w:line="240" w:lineRule="auto"/>
        <w:ind w:firstLine="720"/>
        <w:jc w:val="both"/>
        <w:rPr>
          <w:rFonts w:cs="Traditional Arabic"/>
          <w:sz w:val="32"/>
          <w:szCs w:val="32"/>
          <w:rtl/>
        </w:rPr>
      </w:pPr>
      <w:r w:rsidRPr="005C2BFE">
        <w:rPr>
          <w:rFonts w:cs="Traditional Arabic" w:hint="cs"/>
          <w:sz w:val="32"/>
          <w:szCs w:val="32"/>
          <w:rtl/>
        </w:rPr>
        <w:t>وتاريخ مصر في العصر الحديث شهد الكثير من التيارات الفنية والسياسية التي غيرت ملامح ووجه مصر عمومًا، وكانت العملة من المناحي التي تأثرت بذلك، بل كانت بمثابة مرآة انعكس عليها التيارات الفنية السائدة، وقد قسمت البحث تبعًا للمنهج المتبع والمضمون إلى أربعة مباحث وخاتمة:</w:t>
      </w:r>
    </w:p>
    <w:p w:rsidR="0044732A" w:rsidRPr="005C2BFE" w:rsidRDefault="0044732A" w:rsidP="0044732A">
      <w:pPr>
        <w:bidi/>
        <w:spacing w:line="240" w:lineRule="auto"/>
        <w:jc w:val="both"/>
        <w:rPr>
          <w:rFonts w:cs="Traditional Arabic"/>
          <w:b/>
          <w:bCs/>
          <w:sz w:val="32"/>
          <w:szCs w:val="32"/>
          <w:rtl/>
        </w:rPr>
      </w:pPr>
      <w:proofErr w:type="gramStart"/>
      <w:r w:rsidRPr="005C2BFE">
        <w:rPr>
          <w:rFonts w:cs="Traditional Arabic" w:hint="cs"/>
          <w:b/>
          <w:bCs/>
          <w:sz w:val="32"/>
          <w:szCs w:val="32"/>
          <w:rtl/>
        </w:rPr>
        <w:t>المبحث</w:t>
      </w:r>
      <w:proofErr w:type="gramEnd"/>
      <w:r w:rsidRPr="005C2BFE">
        <w:rPr>
          <w:rFonts w:cs="Traditional Arabic" w:hint="cs"/>
          <w:b/>
          <w:bCs/>
          <w:sz w:val="32"/>
          <w:szCs w:val="32"/>
          <w:rtl/>
        </w:rPr>
        <w:t xml:space="preserve"> الأول- "الإطار المنهجي والزمني للدراسة ":</w:t>
      </w:r>
    </w:p>
    <w:p w:rsidR="0044732A" w:rsidRPr="005C2BFE" w:rsidRDefault="0044732A" w:rsidP="0044732A">
      <w:pPr>
        <w:bidi/>
        <w:spacing w:line="240" w:lineRule="auto"/>
        <w:ind w:firstLine="720"/>
        <w:jc w:val="both"/>
        <w:rPr>
          <w:rFonts w:cs="Traditional Arabic"/>
          <w:sz w:val="32"/>
          <w:szCs w:val="32"/>
          <w:rtl/>
        </w:rPr>
      </w:pPr>
      <w:r w:rsidRPr="005C2BFE">
        <w:rPr>
          <w:rFonts w:cs="Traditional Arabic" w:hint="cs"/>
          <w:sz w:val="32"/>
          <w:szCs w:val="32"/>
          <w:rtl/>
        </w:rPr>
        <w:t>ويستعرض الباحث في هذا الجانب منهج البحث المتبع لدراسة ذلك الموضوع، ومُشكلة البحث، أهمية البحث، حدود البحث؛ خصوصًا دلالة اختيار عام 1899م، كبداية للبحث، واختيار عام 1976م، الإجراء المنهجي للبحث؛ خصوصًا الزيارات الفنية لمقتني وهواة العملات.</w:t>
      </w:r>
    </w:p>
    <w:p w:rsidR="0044732A" w:rsidRPr="005C2BFE" w:rsidRDefault="0044732A" w:rsidP="0044732A">
      <w:pPr>
        <w:bidi/>
        <w:spacing w:line="240" w:lineRule="auto"/>
        <w:jc w:val="both"/>
        <w:rPr>
          <w:rFonts w:cs="Traditional Arabic"/>
          <w:b/>
          <w:bCs/>
          <w:sz w:val="32"/>
          <w:szCs w:val="32"/>
        </w:rPr>
      </w:pPr>
      <w:proofErr w:type="gramStart"/>
      <w:r w:rsidRPr="005C2BFE">
        <w:rPr>
          <w:rFonts w:cs="Traditional Arabic" w:hint="cs"/>
          <w:b/>
          <w:bCs/>
          <w:sz w:val="32"/>
          <w:szCs w:val="32"/>
          <w:rtl/>
        </w:rPr>
        <w:t>المبحث</w:t>
      </w:r>
      <w:proofErr w:type="gramEnd"/>
      <w:r w:rsidRPr="005C2BFE">
        <w:rPr>
          <w:rFonts w:cs="Traditional Arabic" w:hint="cs"/>
          <w:b/>
          <w:bCs/>
          <w:sz w:val="32"/>
          <w:szCs w:val="32"/>
          <w:rtl/>
        </w:rPr>
        <w:t xml:space="preserve"> الثاني- "التاريخ السياسي والفني لمصر في العصر الحديث":                   </w:t>
      </w:r>
    </w:p>
    <w:p w:rsidR="0044732A" w:rsidRPr="005C2BFE" w:rsidRDefault="0044732A" w:rsidP="0044732A">
      <w:pPr>
        <w:bidi/>
        <w:spacing w:line="240" w:lineRule="auto"/>
        <w:ind w:firstLine="720"/>
        <w:jc w:val="both"/>
        <w:rPr>
          <w:rFonts w:cs="Traditional Arabic"/>
          <w:sz w:val="32"/>
          <w:szCs w:val="32"/>
          <w:rtl/>
        </w:rPr>
      </w:pPr>
      <w:r>
        <w:rPr>
          <w:rFonts w:cs="Traditional Arabic" w:hint="cs"/>
          <w:sz w:val="32"/>
          <w:szCs w:val="32"/>
          <w:rtl/>
        </w:rPr>
        <w:t>و</w:t>
      </w:r>
      <w:r w:rsidRPr="005C2BFE">
        <w:rPr>
          <w:rFonts w:cs="Traditional Arabic" w:hint="cs"/>
          <w:sz w:val="32"/>
          <w:szCs w:val="32"/>
          <w:rtl/>
        </w:rPr>
        <w:t xml:space="preserve">يستعرض الباحث في هذا الجانب بعض الأحداث، وكيف أثر بعضها على تاريخ و التوجهات الفنية تلك الفترة، خصوصًا وقد شهدت الفترة أكثر من اتجاه وأكثر من رؤى سياسية، كان أكثرها تأثيرًا قيام ثورة يوليو 1952م.      </w:t>
      </w:r>
    </w:p>
    <w:p w:rsidR="0044732A" w:rsidRPr="005C2BFE" w:rsidRDefault="0044732A" w:rsidP="0044732A">
      <w:pPr>
        <w:bidi/>
        <w:spacing w:line="240" w:lineRule="auto"/>
        <w:jc w:val="both"/>
        <w:rPr>
          <w:rFonts w:cs="Traditional Arabic"/>
          <w:b/>
          <w:bCs/>
          <w:sz w:val="32"/>
          <w:szCs w:val="32"/>
          <w:rtl/>
        </w:rPr>
      </w:pPr>
      <w:proofErr w:type="gramStart"/>
      <w:r w:rsidRPr="005C2BFE">
        <w:rPr>
          <w:rFonts w:cs="Traditional Arabic" w:hint="cs"/>
          <w:b/>
          <w:bCs/>
          <w:sz w:val="32"/>
          <w:szCs w:val="32"/>
          <w:rtl/>
        </w:rPr>
        <w:lastRenderedPageBreak/>
        <w:t>المبحث</w:t>
      </w:r>
      <w:proofErr w:type="gramEnd"/>
      <w:r w:rsidRPr="005C2BFE">
        <w:rPr>
          <w:rFonts w:cs="Traditional Arabic" w:hint="cs"/>
          <w:b/>
          <w:bCs/>
          <w:sz w:val="32"/>
          <w:szCs w:val="32"/>
          <w:rtl/>
        </w:rPr>
        <w:t xml:space="preserve"> الثالث- "العملة المصرية": </w:t>
      </w:r>
    </w:p>
    <w:p w:rsidR="0044732A" w:rsidRPr="005C2BFE" w:rsidRDefault="0044732A" w:rsidP="0044732A">
      <w:pPr>
        <w:bidi/>
        <w:spacing w:line="240" w:lineRule="auto"/>
        <w:ind w:firstLine="720"/>
        <w:jc w:val="both"/>
        <w:rPr>
          <w:rFonts w:cs="Traditional Arabic"/>
          <w:sz w:val="32"/>
          <w:szCs w:val="32"/>
          <w:rtl/>
        </w:rPr>
      </w:pPr>
      <w:r w:rsidRPr="005C2BFE">
        <w:rPr>
          <w:rFonts w:cs="Traditional Arabic" w:hint="cs"/>
          <w:sz w:val="32"/>
          <w:szCs w:val="32"/>
          <w:rtl/>
        </w:rPr>
        <w:t xml:space="preserve">ونعتمد في ذلك المبحث على تحليل العناصر الفنية للعملة، </w:t>
      </w:r>
      <w:proofErr w:type="gramStart"/>
      <w:r w:rsidRPr="005C2BFE">
        <w:rPr>
          <w:rFonts w:cs="Traditional Arabic" w:hint="cs"/>
          <w:sz w:val="32"/>
          <w:szCs w:val="32"/>
          <w:rtl/>
        </w:rPr>
        <w:t>والتي</w:t>
      </w:r>
      <w:proofErr w:type="gramEnd"/>
      <w:r w:rsidRPr="005C2BFE">
        <w:rPr>
          <w:rFonts w:cs="Traditional Arabic" w:hint="cs"/>
          <w:sz w:val="32"/>
          <w:szCs w:val="32"/>
          <w:rtl/>
        </w:rPr>
        <w:t xml:space="preserve"> أجملناها في النقاط التالية:</w:t>
      </w:r>
    </w:p>
    <w:p w:rsidR="0044732A" w:rsidRPr="005C2BFE" w:rsidRDefault="0044732A" w:rsidP="0044732A">
      <w:pPr>
        <w:numPr>
          <w:ilvl w:val="0"/>
          <w:numId w:val="1"/>
        </w:numPr>
        <w:bidi/>
        <w:spacing w:line="240" w:lineRule="auto"/>
        <w:jc w:val="both"/>
        <w:rPr>
          <w:rFonts w:cs="Traditional Arabic"/>
          <w:sz w:val="32"/>
          <w:szCs w:val="32"/>
        </w:rPr>
      </w:pPr>
      <w:proofErr w:type="gramStart"/>
      <w:r w:rsidRPr="005C2BFE">
        <w:rPr>
          <w:rFonts w:cs="Traditional Arabic" w:hint="cs"/>
          <w:sz w:val="32"/>
          <w:szCs w:val="32"/>
          <w:rtl/>
        </w:rPr>
        <w:t>الكتابات</w:t>
      </w:r>
      <w:proofErr w:type="gramEnd"/>
      <w:r w:rsidRPr="005C2BFE">
        <w:rPr>
          <w:rFonts w:cs="Traditional Arabic" w:hint="cs"/>
          <w:sz w:val="32"/>
          <w:szCs w:val="32"/>
          <w:rtl/>
        </w:rPr>
        <w:t xml:space="preserve"> العربية، والأوربية على عملات تلك الفترة، والخطوط المستخدمة فيها. </w:t>
      </w:r>
    </w:p>
    <w:p w:rsidR="0044732A" w:rsidRPr="005C2BFE" w:rsidRDefault="0044732A" w:rsidP="0044732A">
      <w:pPr>
        <w:numPr>
          <w:ilvl w:val="0"/>
          <w:numId w:val="1"/>
        </w:numPr>
        <w:bidi/>
        <w:spacing w:line="240" w:lineRule="auto"/>
        <w:jc w:val="both"/>
        <w:rPr>
          <w:rFonts w:cs="Traditional Arabic"/>
          <w:sz w:val="32"/>
          <w:szCs w:val="32"/>
        </w:rPr>
      </w:pPr>
      <w:r w:rsidRPr="005C2BFE">
        <w:rPr>
          <w:rFonts w:cs="Traditional Arabic" w:hint="cs"/>
          <w:sz w:val="32"/>
          <w:szCs w:val="32"/>
          <w:rtl/>
        </w:rPr>
        <w:t>الصور ودلالتها على العملة.</w:t>
      </w:r>
    </w:p>
    <w:p w:rsidR="0044732A" w:rsidRPr="005C2BFE" w:rsidRDefault="0044732A" w:rsidP="0044732A">
      <w:pPr>
        <w:numPr>
          <w:ilvl w:val="0"/>
          <w:numId w:val="1"/>
        </w:numPr>
        <w:bidi/>
        <w:spacing w:line="240" w:lineRule="auto"/>
        <w:jc w:val="both"/>
        <w:rPr>
          <w:rFonts w:cs="Traditional Arabic"/>
          <w:sz w:val="32"/>
          <w:szCs w:val="32"/>
        </w:rPr>
      </w:pPr>
      <w:proofErr w:type="gramStart"/>
      <w:r w:rsidRPr="005C2BFE">
        <w:rPr>
          <w:rFonts w:cs="Traditional Arabic" w:hint="cs"/>
          <w:sz w:val="32"/>
          <w:szCs w:val="32"/>
          <w:rtl/>
        </w:rPr>
        <w:t>الألوان</w:t>
      </w:r>
      <w:proofErr w:type="gramEnd"/>
      <w:r w:rsidRPr="005C2BFE">
        <w:rPr>
          <w:rFonts w:cs="Traditional Arabic" w:hint="cs"/>
          <w:sz w:val="32"/>
          <w:szCs w:val="32"/>
          <w:rtl/>
        </w:rPr>
        <w:t>.</w:t>
      </w:r>
    </w:p>
    <w:p w:rsidR="0044732A" w:rsidRPr="005C2BFE" w:rsidRDefault="0044732A" w:rsidP="0044732A">
      <w:pPr>
        <w:bidi/>
        <w:spacing w:line="240" w:lineRule="auto"/>
        <w:jc w:val="both"/>
        <w:rPr>
          <w:rFonts w:cs="Traditional Arabic"/>
          <w:b/>
          <w:bCs/>
          <w:sz w:val="32"/>
          <w:szCs w:val="32"/>
          <w:rtl/>
        </w:rPr>
      </w:pPr>
      <w:proofErr w:type="gramStart"/>
      <w:r w:rsidRPr="005C2BFE">
        <w:rPr>
          <w:rFonts w:cs="Traditional Arabic" w:hint="cs"/>
          <w:b/>
          <w:bCs/>
          <w:sz w:val="32"/>
          <w:szCs w:val="32"/>
          <w:rtl/>
        </w:rPr>
        <w:t>المبحث</w:t>
      </w:r>
      <w:proofErr w:type="gramEnd"/>
      <w:r w:rsidRPr="005C2BFE">
        <w:rPr>
          <w:rFonts w:cs="Traditional Arabic" w:hint="cs"/>
          <w:b/>
          <w:bCs/>
          <w:sz w:val="32"/>
          <w:szCs w:val="32"/>
          <w:rtl/>
        </w:rPr>
        <w:t xml:space="preserve"> الرابع-"خطاطي العملة":</w:t>
      </w:r>
    </w:p>
    <w:p w:rsidR="0044732A" w:rsidRPr="005C2BFE" w:rsidRDefault="0044732A" w:rsidP="0044732A">
      <w:pPr>
        <w:bidi/>
        <w:spacing w:line="240" w:lineRule="auto"/>
        <w:ind w:firstLine="720"/>
        <w:jc w:val="both"/>
        <w:rPr>
          <w:rFonts w:cs="Traditional Arabic"/>
          <w:b/>
          <w:bCs/>
          <w:sz w:val="32"/>
          <w:szCs w:val="32"/>
          <w:rtl/>
        </w:rPr>
      </w:pPr>
      <w:r w:rsidRPr="005C2BFE">
        <w:rPr>
          <w:rFonts w:cs="Traditional Arabic" w:hint="cs"/>
          <w:sz w:val="32"/>
          <w:szCs w:val="32"/>
          <w:rtl/>
        </w:rPr>
        <w:t xml:space="preserve">يتضمن هذا المبحث أسماء الخطاطين الذين تولوا كتابتها، فكان لكل </w:t>
      </w:r>
      <w:proofErr w:type="gramStart"/>
      <w:r w:rsidRPr="005C2BFE">
        <w:rPr>
          <w:rFonts w:cs="Traditional Arabic" w:hint="cs"/>
          <w:sz w:val="32"/>
          <w:szCs w:val="32"/>
          <w:rtl/>
        </w:rPr>
        <w:t>خطاط</w:t>
      </w:r>
      <w:proofErr w:type="gramEnd"/>
      <w:r w:rsidRPr="005C2BFE">
        <w:rPr>
          <w:rFonts w:cs="Traditional Arabic" w:hint="cs"/>
          <w:sz w:val="32"/>
          <w:szCs w:val="32"/>
          <w:rtl/>
        </w:rPr>
        <w:t xml:space="preserve"> أسلوبه الخاص، في تنفيذ الكتابات والزخارف.</w:t>
      </w:r>
      <w:r w:rsidRPr="005C2BFE">
        <w:rPr>
          <w:rFonts w:cs="Traditional Arabic" w:hint="cs"/>
          <w:b/>
          <w:bCs/>
          <w:sz w:val="32"/>
          <w:szCs w:val="32"/>
          <w:rtl/>
        </w:rPr>
        <w:t xml:space="preserve">      </w:t>
      </w:r>
    </w:p>
    <w:p w:rsidR="0044732A" w:rsidRPr="005C2BFE" w:rsidRDefault="0044732A" w:rsidP="0044732A">
      <w:pPr>
        <w:bidi/>
        <w:spacing w:line="240" w:lineRule="auto"/>
        <w:jc w:val="both"/>
        <w:rPr>
          <w:rFonts w:cs="Traditional Arabic"/>
          <w:b/>
          <w:bCs/>
          <w:sz w:val="32"/>
          <w:szCs w:val="32"/>
          <w:rtl/>
        </w:rPr>
      </w:pPr>
      <w:proofErr w:type="gramStart"/>
      <w:r w:rsidRPr="005C2BFE">
        <w:rPr>
          <w:rFonts w:cs="Traditional Arabic" w:hint="cs"/>
          <w:b/>
          <w:bCs/>
          <w:sz w:val="32"/>
          <w:szCs w:val="32"/>
          <w:rtl/>
        </w:rPr>
        <w:t>الخاتمة</w:t>
      </w:r>
      <w:proofErr w:type="gramEnd"/>
      <w:r w:rsidRPr="005C2BFE">
        <w:rPr>
          <w:rFonts w:cs="Traditional Arabic" w:hint="cs"/>
          <w:b/>
          <w:bCs/>
          <w:sz w:val="32"/>
          <w:szCs w:val="32"/>
          <w:rtl/>
        </w:rPr>
        <w:t>:</w:t>
      </w:r>
    </w:p>
    <w:p w:rsidR="0044732A" w:rsidRPr="005C2BFE" w:rsidRDefault="0044732A" w:rsidP="0044732A">
      <w:pPr>
        <w:bidi/>
        <w:spacing w:line="240" w:lineRule="auto"/>
        <w:ind w:firstLine="720"/>
        <w:jc w:val="both"/>
        <w:rPr>
          <w:rFonts w:cs="Traditional Arabic"/>
          <w:sz w:val="32"/>
          <w:szCs w:val="32"/>
        </w:rPr>
      </w:pPr>
      <w:r w:rsidRPr="005C2BFE">
        <w:rPr>
          <w:rFonts w:cs="Traditional Arabic" w:hint="cs"/>
          <w:sz w:val="32"/>
          <w:szCs w:val="32"/>
          <w:rtl/>
        </w:rPr>
        <w:t xml:space="preserve">وتتضمن أهم النتائج.  </w:t>
      </w:r>
    </w:p>
    <w:p w:rsidR="0044732A" w:rsidRPr="005C2BFE" w:rsidRDefault="0044732A" w:rsidP="0044732A">
      <w:pPr>
        <w:bidi/>
        <w:spacing w:line="240" w:lineRule="auto"/>
        <w:ind w:firstLine="720"/>
        <w:jc w:val="both"/>
        <w:rPr>
          <w:rFonts w:cs="Traditional Arabic" w:hint="cs"/>
          <w:sz w:val="32"/>
          <w:szCs w:val="32"/>
          <w:rtl/>
        </w:rPr>
      </w:pPr>
    </w:p>
    <w:p w:rsidR="0044732A" w:rsidRDefault="0044732A" w:rsidP="0044732A">
      <w:pPr>
        <w:tabs>
          <w:tab w:val="left" w:pos="1747"/>
        </w:tabs>
        <w:bidi/>
        <w:rPr>
          <w:rFonts w:cs="Traditional Arabic" w:hint="cs"/>
          <w:b/>
          <w:bCs/>
          <w:sz w:val="32"/>
          <w:szCs w:val="32"/>
          <w:rtl/>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40E51"/>
    <w:multiLevelType w:val="hybridMultilevel"/>
    <w:tmpl w:val="4F90CC1C"/>
    <w:lvl w:ilvl="0" w:tplc="5E263A12">
      <w:start w:val="1899"/>
      <w:numFmt w:val="bullet"/>
      <w:lvlText w:val="-"/>
      <w:lvlJc w:val="left"/>
      <w:pPr>
        <w:ind w:left="720" w:hanging="360"/>
      </w:pPr>
      <w:rPr>
        <w:rFonts w:ascii="Calibri" w:eastAsia="Times New Roman" w:hAnsi="Calibr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732A"/>
    <w:rsid w:val="001101A0"/>
    <w:rsid w:val="002565BB"/>
    <w:rsid w:val="004473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32A"/>
    <w:pPr>
      <w:spacing w:before="0" w:beforeAutospacing="0" w:after="200" w:afterAutospacing="0" w:line="276" w:lineRule="auto"/>
      <w:ind w:left="0" w:firstLine="0"/>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1545</Characters>
  <Application>Microsoft Office Word</Application>
  <DocSecurity>0</DocSecurity>
  <Lines>12</Lines>
  <Paragraphs>3</Paragraphs>
  <ScaleCrop>false</ScaleCrop>
  <Company>Bibliotheca Alexandrina</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2009-03-10T11:33:00Z</dcterms:created>
  <dcterms:modified xsi:type="dcterms:W3CDTF">2009-03-10T11:33:00Z</dcterms:modified>
</cp:coreProperties>
</file>