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541" w:rsidRPr="005C2BFE" w:rsidRDefault="00481541" w:rsidP="00481541">
      <w:pPr>
        <w:bidi/>
        <w:spacing w:line="240" w:lineRule="auto"/>
        <w:jc w:val="both"/>
        <w:rPr>
          <w:rStyle w:val="Strong"/>
          <w:rFonts w:ascii="Verdana" w:hAnsi="Verdana" w:cs="Traditional Arabic" w:hint="cs"/>
          <w:sz w:val="32"/>
          <w:szCs w:val="32"/>
          <w:rtl/>
        </w:rPr>
      </w:pPr>
      <w:r w:rsidRPr="005C2BFE">
        <w:rPr>
          <w:rStyle w:val="Strong"/>
          <w:rFonts w:ascii="Verdana" w:hAnsi="Verdana" w:cs="Traditional Arabic" w:hint="cs"/>
          <w:sz w:val="32"/>
          <w:szCs w:val="32"/>
          <w:rtl/>
        </w:rPr>
        <w:t>محمد فياض</w:t>
      </w:r>
    </w:p>
    <w:p w:rsidR="00481541" w:rsidRDefault="00481541" w:rsidP="00481541">
      <w:pPr>
        <w:bidi/>
        <w:spacing w:line="240" w:lineRule="auto"/>
        <w:jc w:val="both"/>
        <w:rPr>
          <w:rFonts w:cs="Traditional Arabic" w:hint="cs"/>
          <w:sz w:val="32"/>
          <w:szCs w:val="32"/>
          <w:rtl/>
        </w:rPr>
      </w:pPr>
      <w:r w:rsidRPr="005C2BFE">
        <w:rPr>
          <w:rFonts w:cs="Traditional Arabic" w:hint="cs"/>
          <w:sz w:val="32"/>
          <w:szCs w:val="32"/>
          <w:rtl/>
        </w:rPr>
        <w:t xml:space="preserve">كلية الآداب </w:t>
      </w:r>
      <w:r w:rsidRPr="005C2BFE">
        <w:rPr>
          <w:rFonts w:cs="Traditional Arabic"/>
          <w:sz w:val="32"/>
          <w:szCs w:val="32"/>
          <w:rtl/>
        </w:rPr>
        <w:t>–</w:t>
      </w:r>
      <w:r w:rsidRPr="005C2BFE">
        <w:rPr>
          <w:rFonts w:cs="Traditional Arabic" w:hint="cs"/>
          <w:sz w:val="32"/>
          <w:szCs w:val="32"/>
          <w:rtl/>
        </w:rPr>
        <w:t xml:space="preserve"> جامعة طنطا</w:t>
      </w:r>
    </w:p>
    <w:p w:rsidR="00481541" w:rsidRDefault="00481541" w:rsidP="00481541">
      <w:pPr>
        <w:bidi/>
        <w:spacing w:line="240" w:lineRule="auto"/>
        <w:jc w:val="both"/>
        <w:rPr>
          <w:rFonts w:cs="Traditional Arabic" w:hint="cs"/>
          <w:sz w:val="32"/>
          <w:szCs w:val="32"/>
          <w:rtl/>
        </w:rPr>
      </w:pPr>
    </w:p>
    <w:p w:rsidR="00481541" w:rsidRPr="005C2BFE" w:rsidRDefault="00481541" w:rsidP="00481541">
      <w:pPr>
        <w:bidi/>
        <w:spacing w:line="240" w:lineRule="auto"/>
        <w:jc w:val="center"/>
        <w:rPr>
          <w:rFonts w:cs="Traditional Arabic" w:hint="cs"/>
          <w:b/>
          <w:bCs/>
          <w:sz w:val="32"/>
          <w:szCs w:val="32"/>
          <w:rtl/>
          <w:lang w:bidi="ar-EG"/>
        </w:rPr>
      </w:pPr>
      <w:r w:rsidRPr="005C2BFE">
        <w:rPr>
          <w:rFonts w:cs="Traditional Arabic" w:hint="cs"/>
          <w:b/>
          <w:bCs/>
          <w:sz w:val="32"/>
          <w:szCs w:val="32"/>
          <w:rtl/>
          <w:lang w:bidi="ar-EG"/>
        </w:rPr>
        <w:t>عادة دفن النقود في مصر في العصر الفاطمي</w:t>
      </w:r>
    </w:p>
    <w:p w:rsidR="00481541" w:rsidRPr="009532F2" w:rsidRDefault="00481541" w:rsidP="00481541">
      <w:pPr>
        <w:bidi/>
        <w:spacing w:line="240" w:lineRule="auto"/>
        <w:jc w:val="center"/>
        <w:rPr>
          <w:rFonts w:cs="Traditional Arabic" w:hint="cs"/>
          <w:b/>
          <w:bCs/>
          <w:sz w:val="32"/>
          <w:szCs w:val="32"/>
          <w:rtl/>
          <w:lang w:bidi="ar-EG"/>
        </w:rPr>
      </w:pPr>
      <w:r w:rsidRPr="005C2BFE">
        <w:rPr>
          <w:rFonts w:cs="Traditional Arabic" w:hint="cs"/>
          <w:b/>
          <w:bCs/>
          <w:sz w:val="32"/>
          <w:szCs w:val="32"/>
          <w:rtl/>
          <w:lang w:bidi="ar-EG"/>
        </w:rPr>
        <w:t xml:space="preserve">"358 </w:t>
      </w:r>
      <w:r w:rsidRPr="005C2BFE">
        <w:rPr>
          <w:rFonts w:cs="Traditional Arabic"/>
          <w:b/>
          <w:bCs/>
          <w:sz w:val="32"/>
          <w:szCs w:val="32"/>
          <w:rtl/>
          <w:lang w:bidi="ar-EG"/>
        </w:rPr>
        <w:t>–</w:t>
      </w:r>
      <w:r w:rsidRPr="005C2BFE">
        <w:rPr>
          <w:rFonts w:cs="Traditional Arabic" w:hint="cs"/>
          <w:b/>
          <w:bCs/>
          <w:sz w:val="32"/>
          <w:szCs w:val="32"/>
          <w:rtl/>
          <w:lang w:bidi="ar-EG"/>
        </w:rPr>
        <w:t xml:space="preserve"> 567هـ/969 </w:t>
      </w:r>
      <w:r w:rsidRPr="005C2BFE">
        <w:rPr>
          <w:rFonts w:cs="Traditional Arabic"/>
          <w:b/>
          <w:bCs/>
          <w:sz w:val="32"/>
          <w:szCs w:val="32"/>
          <w:rtl/>
          <w:lang w:bidi="ar-EG"/>
        </w:rPr>
        <w:t>–</w:t>
      </w:r>
      <w:r w:rsidRPr="005C2BFE">
        <w:rPr>
          <w:rFonts w:cs="Traditional Arabic" w:hint="cs"/>
          <w:b/>
          <w:bCs/>
          <w:sz w:val="32"/>
          <w:szCs w:val="32"/>
          <w:rtl/>
          <w:lang w:bidi="ar-EG"/>
        </w:rPr>
        <w:t>1171م"</w:t>
      </w:r>
    </w:p>
    <w:p w:rsidR="00481541" w:rsidRPr="005C2BFE" w:rsidRDefault="00481541" w:rsidP="00481541">
      <w:pPr>
        <w:bidi/>
        <w:spacing w:line="240" w:lineRule="auto"/>
        <w:jc w:val="both"/>
        <w:rPr>
          <w:rFonts w:cs="Traditional Arabic" w:hint="cs"/>
          <w:sz w:val="32"/>
          <w:szCs w:val="32"/>
          <w:rtl/>
          <w:lang w:bidi="ar-EG"/>
        </w:rPr>
      </w:pPr>
      <w:r w:rsidRPr="005C2BFE">
        <w:rPr>
          <w:rFonts w:cs="Traditional Arabic" w:hint="cs"/>
          <w:sz w:val="32"/>
          <w:szCs w:val="32"/>
          <w:rtl/>
          <w:lang w:bidi="ar-EG"/>
        </w:rPr>
        <w:t xml:space="preserve"> </w:t>
      </w:r>
      <w:r>
        <w:rPr>
          <w:rFonts w:cs="Traditional Arabic" w:hint="cs"/>
          <w:sz w:val="32"/>
          <w:szCs w:val="32"/>
          <w:rtl/>
          <w:lang w:bidi="ar-EG"/>
        </w:rPr>
        <w:tab/>
      </w:r>
      <w:r w:rsidRPr="005C2BFE">
        <w:rPr>
          <w:rFonts w:cs="Traditional Arabic" w:hint="cs"/>
          <w:sz w:val="32"/>
          <w:szCs w:val="32"/>
          <w:rtl/>
          <w:lang w:bidi="ar-EG"/>
        </w:rPr>
        <w:t xml:space="preserve">دائمًا كان الإنسان المصري يستطيع أن يواجه الطوارئ والأزمات بحلول غير تقليدية، فكان يستطيع أن يبتكر حلولاً من نوع خاص قد تكون مفيدة وقد تكون ضارة إلا أنها في النهاية كانت حلولا غير تقليديه اعتبرها ملجئا ووسيلة لاستيعاب ذلك الطارئ والتعامل مع هذه الأزمة، وموضوع هذه الدراسة لا يخرج بحال عن ذلك النوع من الحلول فقد وجد المصريين أنفسهم فجأة تحت حكم الدولة الفاطمية وهي الدولة ذات المذهب الشيعي الذي لم تعتنقه أيدلوجية الكافة من المصريين ووجدوا أنفسهم فجأة يحكمون بدوله غير الدولة وخليفة غير الخليفة وأيدلوجية مذهبية غير التي اعتنقوها، فشعروا بأنهم أمام ظرف طارئ وخاص، حتم عليهم تكييف كافة أمورهم، وكان النظام النقدي أحد هذه المناحي التي قلق المصريين بشأنها فقد كان المصريين يتعاملون بالدينار العباسي فوجدوا أنفسهم فجأة يتعاملوا بدينار آخر فاطمي ذا صبغة شيعية لم يتعود المصريين علي التعامل به وان كانوا قد أصبحوا مضطرين. هنا نشأت تلك العادة عند المصريين وهي عاده دفن النقود وكان ذلك عن طريق "تكنيز" هذه النقود العباسية التي لم يعد معمولا بها والاحتفاظ بها مجمدة في أواني وجرات بعيده عن التداول رافضين إرسالها لدار السكة والحصول بدلاً من قيمتها الذهبية علي عمله فاطميه جديدة. </w:t>
      </w:r>
    </w:p>
    <w:p w:rsidR="00481541" w:rsidRPr="005C2BFE" w:rsidRDefault="00481541" w:rsidP="00481541">
      <w:pPr>
        <w:bidi/>
        <w:spacing w:line="240" w:lineRule="auto"/>
        <w:ind w:firstLine="720"/>
        <w:jc w:val="both"/>
        <w:rPr>
          <w:rFonts w:cs="Traditional Arabic" w:hint="cs"/>
          <w:sz w:val="32"/>
          <w:szCs w:val="32"/>
          <w:rtl/>
          <w:lang w:bidi="ar-EG"/>
        </w:rPr>
      </w:pPr>
      <w:r w:rsidRPr="005C2BFE">
        <w:rPr>
          <w:rFonts w:cs="Traditional Arabic" w:hint="cs"/>
          <w:sz w:val="32"/>
          <w:szCs w:val="32"/>
          <w:rtl/>
          <w:lang w:bidi="ar-EG"/>
        </w:rPr>
        <w:t xml:space="preserve">كان هذا هو مخاض تلك العادة التي استمرت كثيرًا طيلة العصر الفاطمي بعد ذلك، ولقد اتضحت هذه الظاهرة بجلاء خاصة عند الأزمات السياسية والاقتصادية والاجتماعية في مصر إبان ذلك العصر، فتعلم المصريين من الفاطميين التقية ولكنها لم تكن التقية الشيعية بل كانت تقية اقتصادية نقدية، استخدمت في حالة الاضطرابات السياسية، أو في حالة سك عملة جديدة لم يكن مرضيًا عنها من المصريين لقلة جودتها، أو إذا طلب منهم التعامل بهذه العملة الجديدة وحمل ما في أيديهم إلى دار السكة، فكانت هذه العادة نوعا من المعارضة السياسية السلبية ضد هذه القرارات، وكذا استخدمت إبان الأزمات الاقتصادية والاجتماعية حيث كانت تنخفض القيمة الشرائية لهذه العملة انخفاضا كبيرا لذا فكان </w:t>
      </w:r>
      <w:r w:rsidRPr="005C2BFE">
        <w:rPr>
          <w:rFonts w:cs="Traditional Arabic" w:hint="cs"/>
          <w:sz w:val="32"/>
          <w:szCs w:val="32"/>
          <w:rtl/>
          <w:lang w:bidi="ar-EG"/>
        </w:rPr>
        <w:lastRenderedPageBreak/>
        <w:t>المصري يدفن هذه النقود في أواني مملوءة بهذه النقود الذهبية بدلاً من أن يضيعها لشراء أشياء بسيطة وهذا ما عبرت عنه القصة الشهيرة للمرأة صاحبة العقد في العصر الفاطمي إبان الشدة المستنصرية والتي نادت بأعلى صوتها "يا أهل القاهرة ادعوا لمولانا المستنصر الذي اسعد الله الناس بأيامه وأعاد عليهم بركات حسن نظره حتى تقومت على هذه القرصة بألف دينار" حيث أن هذه المرأة استطاعت أن تحصل على قرصه واحده بما يعادل قيمته ألف دينار.</w:t>
      </w:r>
    </w:p>
    <w:p w:rsidR="00481541" w:rsidRDefault="00481541" w:rsidP="00481541">
      <w:pPr>
        <w:bidi/>
        <w:spacing w:line="240" w:lineRule="auto"/>
        <w:ind w:firstLine="720"/>
        <w:jc w:val="both"/>
        <w:rPr>
          <w:rFonts w:cs="Traditional Arabic" w:hint="cs"/>
          <w:sz w:val="32"/>
          <w:szCs w:val="32"/>
          <w:rtl/>
          <w:lang w:bidi="ar-EG"/>
        </w:rPr>
      </w:pPr>
      <w:r w:rsidRPr="005C2BFE">
        <w:rPr>
          <w:rFonts w:cs="Traditional Arabic" w:hint="cs"/>
          <w:sz w:val="32"/>
          <w:szCs w:val="32"/>
          <w:rtl/>
          <w:lang w:bidi="ar-EG"/>
        </w:rPr>
        <w:t>هنا وجد المصري أنه من الخسارة أن يضيع هذه النقود في تلك الأوقات العصيبة وأمام هذا كله اتجه لتكنيز نقوده ودفنها في ظاهرة بدأت كحل ولكنها أصبحت عاده، لكنها في الحقيقة كانت عاده لها دور بطولي في كافة الأزمات الاقتصادية التي حدثت في العصر الفاطمي، فقل رصيد الذهب النقي في الدولة ، صاحب ذلك تضخم اقتصادي أدى في كثير من الأحيان لنتائج كارثية، فكان حلاً بمثابة النقمة آنذاك إلا أنه أصبح نعمه بعد ذلك لأنه لولا ذلك الدفن أو التكنيز لضاعت الكثير من العملات في مصاهر دار السكة وما وصلت إلينا، ولصهرت الكثير من المحطات التاريخية ذات الأهمية البالغة خاصة لو علمنا أن هذه العملات الفاطمية المكتشفة والتي كانت وحسب تصريحات المجلس الأعلى للآثار من أجود أنواع العملات الذهبية عيارًا ونقاوة ووزنًا</w:t>
      </w:r>
      <w:r>
        <w:rPr>
          <w:rFonts w:cs="Traditional Arabic" w:hint="cs"/>
          <w:sz w:val="32"/>
          <w:szCs w:val="32"/>
          <w:rtl/>
          <w:lang w:bidi="ar-EG"/>
        </w:rPr>
        <w:t>.</w:t>
      </w:r>
    </w:p>
    <w:p w:rsidR="00481541" w:rsidRDefault="00481541" w:rsidP="00481541">
      <w:pPr>
        <w:bidi/>
        <w:spacing w:line="240" w:lineRule="auto"/>
        <w:jc w:val="both"/>
        <w:rPr>
          <w:rFonts w:cs="Traditional Arabic" w:hint="cs"/>
          <w:sz w:val="32"/>
          <w:szCs w:val="32"/>
          <w:rtl/>
          <w:lang w:bidi="ar-EG"/>
        </w:rPr>
      </w:pPr>
    </w:p>
    <w:p w:rsidR="001101A0" w:rsidRDefault="001101A0">
      <w:pPr>
        <w:rPr>
          <w:lang w:bidi="ar-EG"/>
        </w:rPr>
      </w:pPr>
    </w:p>
    <w:sectPr w:rsidR="001101A0"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81541"/>
    <w:rsid w:val="001101A0"/>
    <w:rsid w:val="002565BB"/>
    <w:rsid w:val="0048154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541"/>
    <w:pPr>
      <w:spacing w:before="0" w:beforeAutospacing="0" w:after="200" w:afterAutospacing="0" w:line="276" w:lineRule="auto"/>
      <w:ind w:left="0" w:firstLine="0"/>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8154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2474</Characters>
  <Application>Microsoft Office Word</Application>
  <DocSecurity>0</DocSecurity>
  <Lines>20</Lines>
  <Paragraphs>5</Paragraphs>
  <ScaleCrop>false</ScaleCrop>
  <Company>Bibliotheca Alexandrina</Company>
  <LinksUpToDate>false</LinksUpToDate>
  <CharactersWithSpaces>2903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2009-03-10T11:38:00Z</dcterms:created>
  <dcterms:modified xsi:type="dcterms:W3CDTF">2009-03-10T11:38:00Z</dcterms:modified>
</cp:coreProperties>
</file>